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D2D" w:rsidRPr="003946E8" w:rsidRDefault="008D5AE9" w:rsidP="003946E8">
      <w:pPr>
        <w:spacing w:before="120" w:after="360" w:line="320" w:lineRule="exact"/>
        <w:jc w:val="center"/>
        <w:outlineLvl w:val="1"/>
        <w:rPr>
          <w:rFonts w:ascii="Times New Roman" w:eastAsia="Times New Roman" w:hAnsi="Times New Roman" w:cs="Times New Roman"/>
          <w:b/>
          <w:bCs/>
          <w:color w:val="1B1C1D"/>
          <w:sz w:val="44"/>
          <w:szCs w:val="28"/>
        </w:rPr>
      </w:pPr>
      <w:bookmarkStart w:id="0" w:name="_Hlk213424424"/>
      <w:r w:rsidRPr="003946E8">
        <w:rPr>
          <w:rFonts w:ascii="Times New Roman" w:eastAsia="Times New Roman" w:hAnsi="Times New Roman" w:cs="Times New Roman"/>
          <w:b/>
          <w:bCs/>
          <w:color w:val="1B1C1D"/>
          <w:sz w:val="36"/>
          <w:szCs w:val="28"/>
        </w:rPr>
        <w:t xml:space="preserve">NỘI </w:t>
      </w:r>
      <w:r w:rsidR="00451D2D" w:rsidRPr="003946E8">
        <w:rPr>
          <w:rFonts w:ascii="Times New Roman" w:eastAsia="Times New Roman" w:hAnsi="Times New Roman" w:cs="Times New Roman"/>
          <w:b/>
          <w:bCs/>
          <w:color w:val="1B1C1D"/>
          <w:sz w:val="36"/>
          <w:szCs w:val="28"/>
        </w:rPr>
        <w:t>DUNG TRUYỀN THÔNG</w:t>
      </w:r>
      <w:r w:rsidR="00451D2D" w:rsidRPr="003946E8">
        <w:rPr>
          <w:rFonts w:ascii="Times New Roman" w:eastAsia="Times New Roman" w:hAnsi="Times New Roman" w:cs="Times New Roman"/>
          <w:b/>
          <w:bCs/>
          <w:color w:val="1B1C1D"/>
          <w:sz w:val="32"/>
          <w:szCs w:val="28"/>
          <w:lang w:val="vi-VN"/>
        </w:rPr>
        <w:t xml:space="preserve"> </w:t>
      </w:r>
    </w:p>
    <w:bookmarkEnd w:id="0"/>
    <w:p w:rsidR="00451D2D" w:rsidRPr="00294248" w:rsidRDefault="00451D2D" w:rsidP="00451D2D">
      <w:pPr>
        <w:spacing w:before="120" w:after="0" w:line="320" w:lineRule="exact"/>
        <w:jc w:val="center"/>
        <w:rPr>
          <w:rFonts w:ascii="Times New Roman" w:eastAsia="Times New Roman" w:hAnsi="Times New Roman" w:cs="Times New Roman"/>
          <w:b/>
          <w:bCs/>
          <w:color w:val="1B1C1D"/>
          <w:sz w:val="28"/>
          <w:szCs w:val="28"/>
        </w:rPr>
      </w:pPr>
      <w:r>
        <w:rPr>
          <w:rFonts w:ascii="Times New Roman" w:eastAsia="Times New Roman" w:hAnsi="Times New Roman" w:cs="Times New Roman"/>
          <w:b/>
          <w:bCs/>
          <w:color w:val="1B1C1D"/>
          <w:sz w:val="28"/>
          <w:szCs w:val="28"/>
        </w:rPr>
        <w:t>Đối với d</w:t>
      </w:r>
      <w:r w:rsidRPr="00294248">
        <w:rPr>
          <w:rFonts w:ascii="Times New Roman" w:eastAsia="Times New Roman" w:hAnsi="Times New Roman" w:cs="Times New Roman"/>
          <w:b/>
          <w:bCs/>
          <w:color w:val="1B1C1D"/>
          <w:sz w:val="28"/>
          <w:szCs w:val="28"/>
        </w:rPr>
        <w:t xml:space="preserve">ự thảo </w:t>
      </w:r>
      <w:r w:rsidR="0001489C" w:rsidRPr="0001489C">
        <w:rPr>
          <w:rFonts w:ascii="Times New Roman" w:eastAsia="Times New Roman" w:hAnsi="Times New Roman" w:cs="Times New Roman"/>
          <w:b/>
          <w:bCs/>
          <w:color w:val="1B1C1D"/>
          <w:sz w:val="28"/>
          <w:szCs w:val="28"/>
          <w:lang w:val="en-GB"/>
        </w:rPr>
        <w:t>Thông tư hướng dẫn một số nội dung tại Nghị định số 289/2025/NĐ-CP ngày 06/11/2025 của Chính phủ hướng dẫn thi hành Nghị quyết số 197/2025/QH15 ngày 17/5/2025 của Quốc hội về một số cơ chế, chính sách đặc biệt tạo đột phá trong xây d</w:t>
      </w:r>
      <w:bookmarkStart w:id="1" w:name="_GoBack"/>
      <w:bookmarkEnd w:id="1"/>
      <w:r w:rsidR="0001489C" w:rsidRPr="0001489C">
        <w:rPr>
          <w:rFonts w:ascii="Times New Roman" w:eastAsia="Times New Roman" w:hAnsi="Times New Roman" w:cs="Times New Roman"/>
          <w:b/>
          <w:bCs/>
          <w:color w:val="1B1C1D"/>
          <w:sz w:val="28"/>
          <w:szCs w:val="28"/>
          <w:lang w:val="en-GB"/>
        </w:rPr>
        <w:t>ựng và tổ chức thi hành pháp luật</w:t>
      </w:r>
    </w:p>
    <w:p w:rsidR="00451D2D" w:rsidRPr="00CA1C08" w:rsidRDefault="00451D2D" w:rsidP="00451D2D">
      <w:pPr>
        <w:spacing w:before="120" w:after="0" w:line="320" w:lineRule="exact"/>
        <w:rPr>
          <w:rFonts w:ascii="Times New Roman" w:eastAsia="Times New Roman" w:hAnsi="Times New Roman" w:cs="Times New Roman"/>
          <w:sz w:val="28"/>
          <w:szCs w:val="28"/>
        </w:rPr>
      </w:pPr>
    </w:p>
    <w:p w:rsidR="00BB25E5" w:rsidRDefault="00451D2D" w:rsidP="00C722CC">
      <w:pPr>
        <w:spacing w:before="120" w:after="120" w:line="276" w:lineRule="auto"/>
        <w:ind w:firstLine="709"/>
        <w:jc w:val="both"/>
        <w:rPr>
          <w:rFonts w:ascii="Times New Roman" w:eastAsia="Times New Roman" w:hAnsi="Times New Roman" w:cs="Times New Roman"/>
          <w:color w:val="1B1C1D"/>
          <w:spacing w:val="-2"/>
          <w:sz w:val="28"/>
          <w:szCs w:val="28"/>
        </w:rPr>
      </w:pPr>
      <w:r>
        <w:rPr>
          <w:rFonts w:ascii="Times New Roman" w:eastAsia="Times New Roman" w:hAnsi="Times New Roman" w:cs="Times New Roman"/>
          <w:color w:val="1B1C1D"/>
          <w:spacing w:val="-2"/>
          <w:sz w:val="28"/>
          <w:szCs w:val="28"/>
        </w:rPr>
        <w:t xml:space="preserve">Triển khai </w:t>
      </w:r>
      <w:r w:rsidR="0001489C" w:rsidRPr="0001489C">
        <w:rPr>
          <w:rFonts w:ascii="Times New Roman" w:eastAsia="Times New Roman" w:hAnsi="Times New Roman" w:cs="Times New Roman"/>
          <w:color w:val="1B1C1D"/>
          <w:spacing w:val="-2"/>
          <w:sz w:val="28"/>
          <w:szCs w:val="28"/>
          <w:lang w:val="en-GB"/>
        </w:rPr>
        <w:t>Nghị quyết số 197/2025/QH15 về một số cơ chế, chính sách đặc biệt tạo đột phá trong xây dựng và tổ chức thi hành pháp luật</w:t>
      </w:r>
      <w:r w:rsidR="00F16618">
        <w:rPr>
          <w:rFonts w:ascii="Times New Roman" w:eastAsia="Times New Roman" w:hAnsi="Times New Roman" w:cs="Times New Roman"/>
          <w:color w:val="1B1C1D"/>
          <w:spacing w:val="-2"/>
          <w:sz w:val="28"/>
          <w:szCs w:val="28"/>
          <w:lang w:val="en-GB"/>
        </w:rPr>
        <w:t xml:space="preserve"> (sau đây gọi là Nghị định số </w:t>
      </w:r>
      <w:r w:rsidR="00F16618" w:rsidRPr="0001489C">
        <w:rPr>
          <w:rFonts w:ascii="Times New Roman" w:eastAsia="Times New Roman" w:hAnsi="Times New Roman" w:cs="Times New Roman"/>
          <w:color w:val="1B1C1D"/>
          <w:spacing w:val="-2"/>
          <w:sz w:val="28"/>
          <w:szCs w:val="28"/>
          <w:lang w:val="en-GB"/>
        </w:rPr>
        <w:t>197/2025/QH15</w:t>
      </w:r>
      <w:r w:rsidR="00F16618">
        <w:rPr>
          <w:rFonts w:ascii="Times New Roman" w:eastAsia="Times New Roman" w:hAnsi="Times New Roman" w:cs="Times New Roman"/>
          <w:color w:val="1B1C1D"/>
          <w:spacing w:val="-2"/>
          <w:sz w:val="28"/>
          <w:szCs w:val="28"/>
          <w:lang w:val="en-GB"/>
        </w:rPr>
        <w:t>)</w:t>
      </w:r>
      <w:r w:rsidR="0001489C">
        <w:rPr>
          <w:rFonts w:ascii="Times New Roman" w:eastAsia="Times New Roman" w:hAnsi="Times New Roman" w:cs="Times New Roman"/>
          <w:color w:val="1B1C1D"/>
          <w:spacing w:val="-2"/>
          <w:sz w:val="28"/>
          <w:szCs w:val="28"/>
          <w:lang w:val="en-GB"/>
        </w:rPr>
        <w:t xml:space="preserve">; </w:t>
      </w:r>
      <w:r w:rsidR="0001489C" w:rsidRPr="0001489C">
        <w:rPr>
          <w:rFonts w:ascii="Times New Roman" w:eastAsia="Times New Roman" w:hAnsi="Times New Roman" w:cs="Times New Roman"/>
          <w:color w:val="1B1C1D"/>
          <w:spacing w:val="-2"/>
          <w:sz w:val="28"/>
          <w:szCs w:val="28"/>
          <w:lang w:val="en-GB"/>
        </w:rPr>
        <w:t>Nghị định số 289/2025/NĐ-CP hướng dẫn thi hành Nghị quyết số 197/2025/QH15 ngày 17/5/2025 của Quốc hội về một số cơ chế, chính sách đặc biệt tạo đột phá trong xây dự</w:t>
      </w:r>
      <w:r w:rsidR="00DA5ACB">
        <w:rPr>
          <w:rFonts w:ascii="Times New Roman" w:eastAsia="Times New Roman" w:hAnsi="Times New Roman" w:cs="Times New Roman"/>
          <w:color w:val="1B1C1D"/>
          <w:spacing w:val="-2"/>
          <w:sz w:val="28"/>
          <w:szCs w:val="28"/>
          <w:lang w:val="en-GB"/>
        </w:rPr>
        <w:t>ng và tổ chức thi hành pháp luật</w:t>
      </w:r>
      <w:r w:rsidR="00F16618">
        <w:rPr>
          <w:rFonts w:ascii="Times New Roman" w:eastAsia="Times New Roman" w:hAnsi="Times New Roman" w:cs="Times New Roman"/>
          <w:color w:val="1B1C1D"/>
          <w:spacing w:val="-2"/>
          <w:sz w:val="28"/>
          <w:szCs w:val="28"/>
          <w:lang w:val="en-GB"/>
        </w:rPr>
        <w:t xml:space="preserve"> (sau đây gọi là </w:t>
      </w:r>
      <w:r w:rsidR="00F16618" w:rsidRPr="0001489C">
        <w:rPr>
          <w:rFonts w:ascii="Times New Roman" w:eastAsia="Times New Roman" w:hAnsi="Times New Roman" w:cs="Times New Roman"/>
          <w:color w:val="1B1C1D"/>
          <w:spacing w:val="-2"/>
          <w:sz w:val="28"/>
          <w:szCs w:val="28"/>
          <w:lang w:val="en-GB"/>
        </w:rPr>
        <w:t>Nghị định số 289/2025/NĐ-CP</w:t>
      </w:r>
      <w:r w:rsidR="00F16618">
        <w:rPr>
          <w:rFonts w:ascii="Times New Roman" w:eastAsia="Times New Roman" w:hAnsi="Times New Roman" w:cs="Times New Roman"/>
          <w:color w:val="1B1C1D"/>
          <w:spacing w:val="-2"/>
          <w:sz w:val="28"/>
          <w:szCs w:val="28"/>
          <w:lang w:val="en-GB"/>
        </w:rPr>
        <w:t>)</w:t>
      </w:r>
      <w:r w:rsidR="00DA5ACB">
        <w:rPr>
          <w:rFonts w:ascii="Times New Roman" w:eastAsia="Times New Roman" w:hAnsi="Times New Roman" w:cs="Times New Roman"/>
          <w:color w:val="1B1C1D"/>
          <w:spacing w:val="-2"/>
          <w:sz w:val="28"/>
          <w:szCs w:val="28"/>
          <w:lang w:val="en-GB"/>
        </w:rPr>
        <w:t>,</w:t>
      </w:r>
      <w:r w:rsidR="0001489C">
        <w:rPr>
          <w:rFonts w:ascii="Times New Roman" w:eastAsia="Times New Roman" w:hAnsi="Times New Roman" w:cs="Times New Roman"/>
          <w:color w:val="1B1C1D"/>
          <w:spacing w:val="-2"/>
          <w:sz w:val="28"/>
          <w:szCs w:val="28"/>
        </w:rPr>
        <w:t xml:space="preserve"> </w:t>
      </w:r>
      <w:r>
        <w:rPr>
          <w:rFonts w:ascii="Times New Roman" w:eastAsia="Times New Roman" w:hAnsi="Times New Roman" w:cs="Times New Roman"/>
          <w:color w:val="1B1C1D"/>
          <w:spacing w:val="-2"/>
          <w:sz w:val="28"/>
          <w:szCs w:val="28"/>
        </w:rPr>
        <w:t xml:space="preserve">Bộ Xây dựng đang dự thảo </w:t>
      </w:r>
      <w:r w:rsidR="0001489C" w:rsidRPr="0001489C">
        <w:rPr>
          <w:rFonts w:ascii="Times New Roman" w:eastAsia="Times New Roman" w:hAnsi="Times New Roman" w:cs="Times New Roman"/>
          <w:color w:val="1B1C1D"/>
          <w:spacing w:val="-2"/>
          <w:sz w:val="28"/>
          <w:szCs w:val="28"/>
        </w:rPr>
        <w:t>Thông tư hướng dẫn một số nội dung tại Nghị định số 289/2025/NĐ-CP ngày 06/11/2025 của Chính phủ hướng dẫn thi hành Nghị quyết số 197/2025/QH15 ngày 17/5/2025 của Quốc hội về một số cơ chế, chính sách đặc biệt tạo đột phá trong xây dựng và tổ chức thi hành pháp luật</w:t>
      </w:r>
      <w:r w:rsidR="00DA5ACB">
        <w:rPr>
          <w:rFonts w:ascii="Times New Roman" w:eastAsia="Times New Roman" w:hAnsi="Times New Roman" w:cs="Times New Roman"/>
          <w:color w:val="1B1C1D"/>
          <w:spacing w:val="-2"/>
          <w:sz w:val="28"/>
          <w:szCs w:val="28"/>
        </w:rPr>
        <w:t xml:space="preserve"> </w:t>
      </w:r>
      <w:r w:rsidR="00DA5ACB">
        <w:rPr>
          <w:rFonts w:ascii="Times New Roman" w:eastAsia="Times New Roman" w:hAnsi="Times New Roman" w:cs="Times New Roman"/>
          <w:color w:val="1B1C1D"/>
          <w:spacing w:val="-2"/>
          <w:sz w:val="28"/>
          <w:szCs w:val="28"/>
          <w:lang w:val="en-GB"/>
        </w:rPr>
        <w:t>(sau đây gọi là dự thảo Thông tư)</w:t>
      </w:r>
      <w:r w:rsidRPr="00CA1C08">
        <w:rPr>
          <w:rFonts w:ascii="Times New Roman" w:eastAsia="Times New Roman" w:hAnsi="Times New Roman" w:cs="Times New Roman"/>
          <w:color w:val="1B1C1D"/>
          <w:spacing w:val="-2"/>
          <w:sz w:val="28"/>
          <w:szCs w:val="28"/>
        </w:rPr>
        <w:t xml:space="preserve">. Dự thảo </w:t>
      </w:r>
      <w:r w:rsidR="00DA5ACB">
        <w:rPr>
          <w:rFonts w:ascii="Times New Roman" w:eastAsia="Times New Roman" w:hAnsi="Times New Roman" w:cs="Times New Roman"/>
          <w:color w:val="1B1C1D"/>
          <w:spacing w:val="-2"/>
          <w:sz w:val="28"/>
          <w:szCs w:val="28"/>
        </w:rPr>
        <w:t xml:space="preserve">Thông tư </w:t>
      </w:r>
      <w:r w:rsidRPr="00CA1C08">
        <w:rPr>
          <w:rFonts w:ascii="Times New Roman" w:eastAsia="Times New Roman" w:hAnsi="Times New Roman" w:cs="Times New Roman"/>
          <w:color w:val="1B1C1D"/>
          <w:spacing w:val="-2"/>
          <w:sz w:val="28"/>
          <w:szCs w:val="28"/>
        </w:rPr>
        <w:t xml:space="preserve">được xây dựng </w:t>
      </w:r>
      <w:r>
        <w:rPr>
          <w:rFonts w:ascii="Times New Roman" w:eastAsia="Times New Roman" w:hAnsi="Times New Roman" w:cs="Times New Roman"/>
          <w:color w:val="1B1C1D"/>
          <w:spacing w:val="-2"/>
          <w:sz w:val="28"/>
          <w:szCs w:val="28"/>
          <w:lang w:val="vi-VN"/>
        </w:rPr>
        <w:t xml:space="preserve">căn cứ trên </w:t>
      </w:r>
      <w:r w:rsidR="00BB25E5">
        <w:rPr>
          <w:rFonts w:ascii="Times New Roman" w:eastAsia="Times New Roman" w:hAnsi="Times New Roman" w:cs="Times New Roman"/>
          <w:color w:val="1B1C1D"/>
          <w:spacing w:val="-2"/>
          <w:sz w:val="28"/>
          <w:szCs w:val="28"/>
        </w:rPr>
        <w:t xml:space="preserve">cơ sơ </w:t>
      </w:r>
      <w:r w:rsidRPr="00CA1C08">
        <w:rPr>
          <w:rFonts w:ascii="Times New Roman" w:eastAsia="Times New Roman" w:hAnsi="Times New Roman" w:cs="Times New Roman"/>
          <w:color w:val="1B1C1D"/>
          <w:spacing w:val="-2"/>
          <w:sz w:val="28"/>
          <w:szCs w:val="28"/>
        </w:rPr>
        <w:t>chính trị,</w:t>
      </w:r>
      <w:r w:rsidRPr="00D469E4">
        <w:rPr>
          <w:rFonts w:ascii="Times New Roman" w:eastAsia="Times New Roman" w:hAnsi="Times New Roman" w:cs="Times New Roman"/>
          <w:color w:val="1B1C1D"/>
          <w:spacing w:val="-2"/>
          <w:sz w:val="28"/>
          <w:szCs w:val="28"/>
        </w:rPr>
        <w:t xml:space="preserve"> </w:t>
      </w:r>
      <w:r>
        <w:rPr>
          <w:rFonts w:ascii="Times New Roman" w:eastAsia="Times New Roman" w:hAnsi="Times New Roman" w:cs="Times New Roman"/>
          <w:color w:val="1B1C1D"/>
          <w:spacing w:val="-2"/>
          <w:sz w:val="28"/>
          <w:szCs w:val="28"/>
          <w:lang w:val="vi-VN"/>
        </w:rPr>
        <w:t xml:space="preserve">cơ sở </w:t>
      </w:r>
      <w:r w:rsidRPr="00D469E4">
        <w:rPr>
          <w:rFonts w:ascii="Times New Roman" w:eastAsia="Times New Roman" w:hAnsi="Times New Roman" w:cs="Times New Roman"/>
          <w:color w:val="1B1C1D"/>
          <w:spacing w:val="-2"/>
          <w:sz w:val="28"/>
          <w:szCs w:val="28"/>
        </w:rPr>
        <w:t>pháp lý và thực tiễn</w:t>
      </w:r>
      <w:r w:rsidRPr="00D469E4">
        <w:rPr>
          <w:rFonts w:ascii="Times New Roman" w:eastAsia="Times New Roman" w:hAnsi="Times New Roman" w:cs="Times New Roman"/>
          <w:color w:val="1B1C1D"/>
          <w:spacing w:val="-2"/>
          <w:sz w:val="28"/>
          <w:szCs w:val="28"/>
          <w:lang w:val="vi-VN"/>
        </w:rPr>
        <w:t xml:space="preserve"> nhằm thực hiện</w:t>
      </w:r>
      <w:r w:rsidRPr="00CA1C08">
        <w:rPr>
          <w:rFonts w:ascii="Times New Roman" w:eastAsia="Times New Roman" w:hAnsi="Times New Roman" w:cs="Times New Roman"/>
          <w:color w:val="1B1C1D"/>
          <w:spacing w:val="-2"/>
          <w:sz w:val="28"/>
          <w:szCs w:val="28"/>
        </w:rPr>
        <w:t xml:space="preserve"> chủ trương </w:t>
      </w:r>
      <w:r w:rsidR="00BB25E5" w:rsidRPr="00BB25E5">
        <w:rPr>
          <w:rFonts w:ascii="Times New Roman" w:eastAsia="Times New Roman" w:hAnsi="Times New Roman" w:cs="Times New Roman"/>
          <w:color w:val="1B1C1D"/>
          <w:spacing w:val="-2"/>
          <w:sz w:val="28"/>
          <w:szCs w:val="28"/>
        </w:rPr>
        <w:t>của Đảng, chính sách của Nhà nước về tạo đột phá trong xây dựng và tổ chức thi hành pháp luật tại Nghị quyết số 66-NQ/TW, Nghị quyết số 297/2025/QH15 và Nghị định số 289/2025/NĐ-CP</w:t>
      </w:r>
      <w:r w:rsidR="00BB25E5">
        <w:rPr>
          <w:rFonts w:ascii="Times New Roman" w:eastAsia="Times New Roman" w:hAnsi="Times New Roman" w:cs="Times New Roman"/>
          <w:color w:val="1B1C1D"/>
          <w:spacing w:val="-2"/>
          <w:sz w:val="28"/>
          <w:szCs w:val="28"/>
        </w:rPr>
        <w:t xml:space="preserve">; đồng thời, </w:t>
      </w:r>
      <w:r w:rsidR="00F16618">
        <w:rPr>
          <w:rFonts w:ascii="Times New Roman" w:eastAsia="Times New Roman" w:hAnsi="Times New Roman" w:cs="Times New Roman"/>
          <w:color w:val="1B1C1D"/>
          <w:spacing w:val="-2"/>
          <w:sz w:val="28"/>
          <w:szCs w:val="28"/>
        </w:rPr>
        <w:t xml:space="preserve">bổ sung các </w:t>
      </w:r>
      <w:r w:rsidR="00BB25E5">
        <w:rPr>
          <w:rFonts w:ascii="Times New Roman" w:eastAsia="Times New Roman" w:hAnsi="Times New Roman" w:cs="Times New Roman"/>
          <w:color w:val="1B1C1D"/>
          <w:spacing w:val="-2"/>
          <w:sz w:val="28"/>
          <w:szCs w:val="28"/>
        </w:rPr>
        <w:t xml:space="preserve">quy định </w:t>
      </w:r>
      <w:r w:rsidR="00BB25E5" w:rsidRPr="00BB25E5">
        <w:rPr>
          <w:rFonts w:ascii="Times New Roman" w:eastAsia="Times New Roman" w:hAnsi="Times New Roman" w:cs="Times New Roman"/>
          <w:color w:val="1B1C1D"/>
          <w:spacing w:val="-2"/>
          <w:sz w:val="28"/>
          <w:szCs w:val="28"/>
          <w:lang w:val="en-GB"/>
        </w:rPr>
        <w:t>danh mục nhiệm vụ, hoạt động và định mức khoán chi cho từng nhiệm vụ, hoạt động được áp dụng cơ chế, chính sách đặc biệt trong xây dựng, ban hành Thông tư của Bộ trưởng Bộ Xây dựng</w:t>
      </w:r>
      <w:r w:rsidR="00BB25E5">
        <w:rPr>
          <w:rFonts w:ascii="Times New Roman" w:eastAsia="Times New Roman" w:hAnsi="Times New Roman" w:cs="Times New Roman"/>
          <w:color w:val="1B1C1D"/>
          <w:spacing w:val="-2"/>
          <w:sz w:val="28"/>
          <w:szCs w:val="28"/>
          <w:lang w:val="en-GB"/>
        </w:rPr>
        <w:t xml:space="preserve">, từ đó tạo cơ pháp lý minh bạch, cụ thể cho các cơ quan, đơn vị khi thực hiện lập, phê duyệt dự toán, thanh toán và quyết toán </w:t>
      </w:r>
      <w:r w:rsidR="00BB25E5" w:rsidRPr="00BB25E5">
        <w:rPr>
          <w:rFonts w:ascii="Times New Roman" w:eastAsia="Times New Roman" w:hAnsi="Times New Roman" w:cs="Times New Roman"/>
          <w:color w:val="1B1C1D"/>
          <w:spacing w:val="-2"/>
          <w:sz w:val="28"/>
          <w:szCs w:val="28"/>
          <w:lang w:val="en-GB"/>
        </w:rPr>
        <w:t xml:space="preserve">kinh phí xây dựng văn bản </w:t>
      </w:r>
      <w:r w:rsidR="00BB25E5">
        <w:rPr>
          <w:rFonts w:ascii="Times New Roman" w:eastAsia="Times New Roman" w:hAnsi="Times New Roman" w:cs="Times New Roman"/>
          <w:color w:val="1B1C1D"/>
          <w:spacing w:val="-2"/>
          <w:sz w:val="28"/>
          <w:szCs w:val="28"/>
          <w:lang w:val="en-GB"/>
        </w:rPr>
        <w:t>quy phạm pháp luật</w:t>
      </w:r>
      <w:r w:rsidR="00BB25E5" w:rsidRPr="00BB25E5">
        <w:rPr>
          <w:rFonts w:ascii="Times New Roman" w:eastAsia="Times New Roman" w:hAnsi="Times New Roman" w:cs="Times New Roman"/>
          <w:color w:val="1B1C1D"/>
          <w:spacing w:val="-2"/>
          <w:sz w:val="28"/>
          <w:szCs w:val="28"/>
          <w:lang w:val="en-GB"/>
        </w:rPr>
        <w:t xml:space="preserve"> theo quy định</w:t>
      </w:r>
      <w:r w:rsidR="00BB25E5">
        <w:rPr>
          <w:rFonts w:ascii="Times New Roman" w:eastAsia="Times New Roman" w:hAnsi="Times New Roman" w:cs="Times New Roman"/>
          <w:color w:val="1B1C1D"/>
          <w:spacing w:val="-2"/>
          <w:sz w:val="28"/>
          <w:szCs w:val="28"/>
          <w:lang w:val="en-GB"/>
        </w:rPr>
        <w:t>.</w:t>
      </w:r>
    </w:p>
    <w:p w:rsidR="00451D2D" w:rsidRPr="001E5CA8" w:rsidRDefault="00451D2D" w:rsidP="00C722CC">
      <w:pPr>
        <w:spacing w:before="120" w:after="120" w:line="276" w:lineRule="auto"/>
        <w:ind w:firstLine="709"/>
        <w:jc w:val="both"/>
        <w:rPr>
          <w:rFonts w:ascii="Times New Roman" w:eastAsia="Times New Roman" w:hAnsi="Times New Roman" w:cs="Times New Roman"/>
          <w:b/>
          <w:bCs/>
          <w:color w:val="1B1C1D"/>
          <w:spacing w:val="-2"/>
          <w:sz w:val="28"/>
          <w:szCs w:val="28"/>
        </w:rPr>
      </w:pPr>
      <w:r w:rsidRPr="001E5CA8">
        <w:rPr>
          <w:rFonts w:ascii="Times New Roman" w:eastAsia="Times New Roman" w:hAnsi="Times New Roman" w:cs="Times New Roman"/>
          <w:b/>
          <w:bCs/>
          <w:color w:val="1B1C1D"/>
          <w:spacing w:val="-2"/>
          <w:sz w:val="28"/>
          <w:szCs w:val="28"/>
        </w:rPr>
        <w:t>1. Phạm vi điều chỉnh, đối tượng áp dụng</w:t>
      </w:r>
    </w:p>
    <w:p w:rsidR="00FF6BB8" w:rsidRDefault="00FF6BB8" w:rsidP="00C722CC">
      <w:pPr>
        <w:spacing w:before="120" w:after="120" w:line="276" w:lineRule="auto"/>
        <w:ind w:firstLine="709"/>
        <w:jc w:val="both"/>
        <w:rPr>
          <w:rFonts w:ascii="Times New Roman" w:eastAsia="Times New Roman" w:hAnsi="Times New Roman" w:cs="Times New Roman"/>
          <w:color w:val="1B1C1D"/>
          <w:spacing w:val="-2"/>
          <w:sz w:val="28"/>
          <w:szCs w:val="28"/>
        </w:rPr>
      </w:pPr>
      <w:r>
        <w:rPr>
          <w:rFonts w:ascii="Times New Roman" w:eastAsia="Times New Roman" w:hAnsi="Times New Roman" w:cs="Times New Roman"/>
          <w:color w:val="1B1C1D"/>
          <w:spacing w:val="-2"/>
          <w:sz w:val="28"/>
          <w:szCs w:val="28"/>
        </w:rPr>
        <w:t>- Dự thảo Thông tư có phạm vi điều chỉnh như sau:</w:t>
      </w:r>
    </w:p>
    <w:p w:rsidR="00FF6BB8" w:rsidRPr="00FF6BB8" w:rsidRDefault="00FF6BB8" w:rsidP="00C722CC">
      <w:pPr>
        <w:spacing w:before="120" w:after="120" w:line="276" w:lineRule="auto"/>
        <w:ind w:firstLine="709"/>
        <w:jc w:val="both"/>
        <w:rPr>
          <w:rFonts w:ascii="Times New Roman" w:eastAsia="Times New Roman" w:hAnsi="Times New Roman" w:cs="Times New Roman"/>
          <w:i/>
          <w:color w:val="1B1C1D"/>
          <w:spacing w:val="-2"/>
          <w:sz w:val="28"/>
          <w:szCs w:val="28"/>
          <w:lang w:val="vi-VN"/>
        </w:rPr>
      </w:pPr>
      <w:r>
        <w:rPr>
          <w:rFonts w:ascii="Times New Roman" w:eastAsia="Times New Roman" w:hAnsi="Times New Roman" w:cs="Times New Roman"/>
          <w:color w:val="1B1C1D"/>
          <w:spacing w:val="-2"/>
          <w:sz w:val="28"/>
          <w:szCs w:val="28"/>
        </w:rPr>
        <w:t>“</w:t>
      </w:r>
      <w:r w:rsidRPr="00FF6BB8">
        <w:rPr>
          <w:rFonts w:ascii="Times New Roman" w:eastAsia="Times New Roman" w:hAnsi="Times New Roman" w:cs="Times New Roman"/>
          <w:i/>
          <w:color w:val="1B1C1D"/>
          <w:spacing w:val="-2"/>
          <w:sz w:val="28"/>
          <w:szCs w:val="28"/>
          <w:lang w:val="vi-VN"/>
        </w:rPr>
        <w:t xml:space="preserve">Thông tư này </w:t>
      </w:r>
      <w:r w:rsidRPr="00FF6BB8">
        <w:rPr>
          <w:rFonts w:ascii="Times New Roman" w:eastAsia="Times New Roman" w:hAnsi="Times New Roman" w:cs="Times New Roman"/>
          <w:bCs/>
          <w:i/>
          <w:color w:val="1B1C1D"/>
          <w:spacing w:val="-2"/>
          <w:sz w:val="28"/>
          <w:szCs w:val="28"/>
        </w:rPr>
        <w:t>hướng dẫn</w:t>
      </w:r>
      <w:r w:rsidRPr="00FF6BB8">
        <w:rPr>
          <w:rFonts w:ascii="Times New Roman" w:eastAsia="Times New Roman" w:hAnsi="Times New Roman" w:cs="Times New Roman"/>
          <w:bCs/>
          <w:i/>
          <w:color w:val="1B1C1D"/>
          <w:spacing w:val="-2"/>
          <w:sz w:val="28"/>
          <w:szCs w:val="28"/>
          <w:lang w:val="vi-VN"/>
        </w:rPr>
        <w:t xml:space="preserve"> một số nội dung tại Nghị định số 289/2025/NĐ-CP ngày 6 tháng 11 năm 2025 của Chính phủ hướng dẫn thi hành Nghị quyết số 197/2025/QH15 ngày 17 tháng 5 năm 2025 của Quốc hội về một số cơ chế, chính sách đặc biệt tạo đột phá trong xây dựng và tổ chức thi hành pháp luật (Nghị định số 289/2025/NĐ-CP) thuộc thẩm quyền của Bộ Xây dựng,</w:t>
      </w:r>
      <w:r w:rsidRPr="00FF6BB8">
        <w:rPr>
          <w:rFonts w:ascii="Times New Roman" w:eastAsia="Times New Roman" w:hAnsi="Times New Roman" w:cs="Times New Roman"/>
          <w:i/>
          <w:color w:val="1B1C1D"/>
          <w:spacing w:val="-2"/>
          <w:sz w:val="28"/>
          <w:szCs w:val="28"/>
          <w:lang w:val="vi-VN"/>
        </w:rPr>
        <w:t xml:space="preserve"> bao gồm:</w:t>
      </w:r>
    </w:p>
    <w:p w:rsidR="00FF6BB8" w:rsidRPr="00FF6BB8" w:rsidRDefault="00FF6BB8" w:rsidP="00C722CC">
      <w:pPr>
        <w:spacing w:before="120" w:after="120" w:line="276" w:lineRule="auto"/>
        <w:ind w:firstLine="709"/>
        <w:jc w:val="both"/>
        <w:rPr>
          <w:rFonts w:ascii="Times New Roman" w:eastAsia="Times New Roman" w:hAnsi="Times New Roman" w:cs="Times New Roman"/>
          <w:i/>
          <w:color w:val="1B1C1D"/>
          <w:spacing w:val="-2"/>
          <w:sz w:val="28"/>
          <w:szCs w:val="28"/>
          <w:lang w:val="vi-VN"/>
        </w:rPr>
      </w:pPr>
      <w:r w:rsidRPr="00FF6BB8">
        <w:rPr>
          <w:rFonts w:ascii="Times New Roman" w:eastAsia="Times New Roman" w:hAnsi="Times New Roman" w:cs="Times New Roman"/>
          <w:i/>
          <w:color w:val="1B1C1D"/>
          <w:spacing w:val="-2"/>
          <w:sz w:val="28"/>
          <w:szCs w:val="28"/>
          <w:lang w:val="vi-VN"/>
        </w:rPr>
        <w:t>1. Danh mục nhiệm vụ, hoạt động và định mức khoán chi cho từng nhiệm vụ, hoạt động đối với</w:t>
      </w:r>
      <w:r w:rsidRPr="00FF6BB8">
        <w:rPr>
          <w:rFonts w:ascii="Times New Roman" w:eastAsia="Times New Roman" w:hAnsi="Times New Roman" w:cs="Times New Roman"/>
          <w:i/>
          <w:color w:val="1B1C1D"/>
          <w:spacing w:val="-2"/>
          <w:sz w:val="28"/>
          <w:szCs w:val="28"/>
        </w:rPr>
        <w:t xml:space="preserve"> </w:t>
      </w:r>
      <w:r w:rsidRPr="00FF6BB8">
        <w:rPr>
          <w:rFonts w:ascii="Times New Roman" w:eastAsia="Times New Roman" w:hAnsi="Times New Roman" w:cs="Times New Roman"/>
          <w:i/>
          <w:color w:val="1B1C1D"/>
          <w:spacing w:val="-2"/>
          <w:sz w:val="28"/>
          <w:szCs w:val="28"/>
          <w:lang w:val="vi-VN"/>
        </w:rPr>
        <w:t>xây dựng Thông tư, Thông tư liên tịch.</w:t>
      </w:r>
    </w:p>
    <w:p w:rsidR="00FF6BB8" w:rsidRPr="00FF6BB8" w:rsidRDefault="00FF6BB8" w:rsidP="00C722CC">
      <w:pPr>
        <w:spacing w:before="100" w:after="100" w:line="276" w:lineRule="auto"/>
        <w:ind w:firstLine="709"/>
        <w:jc w:val="both"/>
        <w:rPr>
          <w:rFonts w:ascii="Times New Roman" w:eastAsia="Times New Roman" w:hAnsi="Times New Roman" w:cs="Times New Roman"/>
          <w:i/>
          <w:color w:val="1B1C1D"/>
          <w:spacing w:val="-2"/>
          <w:sz w:val="28"/>
          <w:szCs w:val="28"/>
          <w:lang w:val="vi-VN"/>
        </w:rPr>
      </w:pPr>
      <w:r w:rsidRPr="00FF6BB8">
        <w:rPr>
          <w:rFonts w:ascii="Times New Roman" w:eastAsia="Times New Roman" w:hAnsi="Times New Roman" w:cs="Times New Roman"/>
          <w:i/>
          <w:color w:val="1B1C1D"/>
          <w:spacing w:val="-2"/>
          <w:sz w:val="28"/>
          <w:szCs w:val="28"/>
          <w:lang w:val="vi-VN"/>
        </w:rPr>
        <w:lastRenderedPageBreak/>
        <w:t>2. Thẩm quyền quyết định, điều chỉnh nội dung chi, định mức chi cụ thể đối với từng nhiệm vụ, hoạt động; tiêu chí xác định chuyên gia, tổ chức tư vấn, định mức thuê khoán, phương thức thuê chuyên gia, tổ chức tư vấn cho công tác xây dựng văn bản quy phạm.</w:t>
      </w:r>
    </w:p>
    <w:p w:rsidR="00FF6BB8" w:rsidRPr="00FF6BB8" w:rsidRDefault="00FF6BB8" w:rsidP="00C722CC">
      <w:pPr>
        <w:spacing w:before="100" w:after="100" w:line="276" w:lineRule="auto"/>
        <w:ind w:firstLine="709"/>
        <w:jc w:val="both"/>
        <w:rPr>
          <w:rFonts w:ascii="Times New Roman" w:eastAsia="Times New Roman" w:hAnsi="Times New Roman" w:cs="Times New Roman"/>
          <w:color w:val="1B1C1D"/>
          <w:spacing w:val="-2"/>
          <w:sz w:val="28"/>
          <w:szCs w:val="28"/>
        </w:rPr>
      </w:pPr>
      <w:r w:rsidRPr="00FF6BB8">
        <w:rPr>
          <w:rFonts w:ascii="Times New Roman" w:eastAsia="Times New Roman" w:hAnsi="Times New Roman" w:cs="Times New Roman"/>
          <w:i/>
          <w:color w:val="1B1C1D"/>
          <w:spacing w:val="-2"/>
          <w:sz w:val="28"/>
          <w:szCs w:val="28"/>
          <w:lang w:val="vi-VN"/>
        </w:rPr>
        <w:t>3. Lập dự toán, quản lý, sử dụng, thanh toán và quyết toán kinh phí chi cho công tác xây dựng văn bản quy phạm pháp luật.</w:t>
      </w:r>
      <w:r>
        <w:rPr>
          <w:rFonts w:ascii="Times New Roman" w:eastAsia="Times New Roman" w:hAnsi="Times New Roman" w:cs="Times New Roman"/>
          <w:color w:val="1B1C1D"/>
          <w:spacing w:val="-2"/>
          <w:sz w:val="28"/>
          <w:szCs w:val="28"/>
        </w:rPr>
        <w:t>”.</w:t>
      </w:r>
    </w:p>
    <w:p w:rsidR="00FF6BB8" w:rsidRDefault="00FF6BB8" w:rsidP="00C722CC">
      <w:pPr>
        <w:spacing w:before="100" w:after="100" w:line="276" w:lineRule="auto"/>
        <w:ind w:firstLine="709"/>
        <w:jc w:val="both"/>
        <w:rPr>
          <w:rFonts w:ascii="Times New Roman" w:eastAsia="Times New Roman" w:hAnsi="Times New Roman" w:cs="Times New Roman"/>
          <w:color w:val="1B1C1D"/>
          <w:spacing w:val="-2"/>
          <w:sz w:val="28"/>
          <w:szCs w:val="28"/>
        </w:rPr>
      </w:pPr>
      <w:r>
        <w:rPr>
          <w:rFonts w:ascii="Times New Roman" w:eastAsia="Times New Roman" w:hAnsi="Times New Roman" w:cs="Times New Roman"/>
          <w:color w:val="1B1C1D"/>
          <w:spacing w:val="-2"/>
          <w:sz w:val="28"/>
          <w:szCs w:val="28"/>
        </w:rPr>
        <w:t>- Dự thảo Thông tư có đối tượng áp dụng như sau:</w:t>
      </w:r>
    </w:p>
    <w:p w:rsidR="00FF6BB8" w:rsidRPr="00FF6BB8" w:rsidRDefault="00FF6BB8" w:rsidP="00C722CC">
      <w:pPr>
        <w:spacing w:before="100" w:after="100" w:line="276" w:lineRule="auto"/>
        <w:ind w:firstLine="709"/>
        <w:jc w:val="both"/>
        <w:rPr>
          <w:rFonts w:ascii="Times New Roman" w:eastAsia="Times New Roman" w:hAnsi="Times New Roman" w:cs="Times New Roman"/>
          <w:i/>
          <w:color w:val="1B1C1D"/>
          <w:spacing w:val="-2"/>
          <w:sz w:val="28"/>
          <w:szCs w:val="28"/>
          <w:lang w:val="vi-VN"/>
        </w:rPr>
      </w:pPr>
      <w:r>
        <w:rPr>
          <w:rFonts w:ascii="Times New Roman" w:eastAsia="Times New Roman" w:hAnsi="Times New Roman" w:cs="Times New Roman"/>
          <w:color w:val="1B1C1D"/>
          <w:spacing w:val="-2"/>
          <w:sz w:val="28"/>
          <w:szCs w:val="28"/>
        </w:rPr>
        <w:t xml:space="preserve">“ </w:t>
      </w:r>
      <w:r w:rsidRPr="00FF6BB8">
        <w:rPr>
          <w:rFonts w:ascii="Times New Roman" w:eastAsia="Times New Roman" w:hAnsi="Times New Roman" w:cs="Times New Roman"/>
          <w:i/>
          <w:color w:val="1B1C1D"/>
          <w:spacing w:val="-2"/>
          <w:sz w:val="28"/>
          <w:szCs w:val="28"/>
          <w:lang w:val="vi-VN"/>
        </w:rPr>
        <w:t>Thông tư này áp dụng đối với:</w:t>
      </w:r>
    </w:p>
    <w:p w:rsidR="00FF6BB8" w:rsidRPr="00FF6BB8" w:rsidRDefault="00FF6BB8" w:rsidP="00C722CC">
      <w:pPr>
        <w:spacing w:before="100" w:after="100" w:line="276" w:lineRule="auto"/>
        <w:ind w:firstLine="709"/>
        <w:jc w:val="both"/>
        <w:rPr>
          <w:rFonts w:ascii="Times New Roman" w:eastAsia="Times New Roman" w:hAnsi="Times New Roman" w:cs="Times New Roman"/>
          <w:i/>
          <w:color w:val="1B1C1D"/>
          <w:spacing w:val="-2"/>
          <w:sz w:val="28"/>
          <w:szCs w:val="28"/>
          <w:lang w:val="vi-VN"/>
        </w:rPr>
      </w:pPr>
      <w:r w:rsidRPr="00FF6BB8">
        <w:rPr>
          <w:rFonts w:ascii="Times New Roman" w:eastAsia="Times New Roman" w:hAnsi="Times New Roman" w:cs="Times New Roman"/>
          <w:i/>
          <w:color w:val="1B1C1D"/>
          <w:spacing w:val="-2"/>
          <w:sz w:val="28"/>
          <w:szCs w:val="28"/>
          <w:lang w:val="vi-VN"/>
        </w:rPr>
        <w:t>1. Các cơ quan, đơn vị thuộc Bộ Xây dựng thực hiện nhiệm vụ, hoạt động xây dựng văn bản quy phạm pháp luật (sau đây gọi chung là các đơn vị).</w:t>
      </w:r>
    </w:p>
    <w:p w:rsidR="00FF6BB8" w:rsidRPr="00FF6BB8" w:rsidRDefault="00FF6BB8" w:rsidP="00C722CC">
      <w:pPr>
        <w:spacing w:before="100" w:after="100" w:line="276" w:lineRule="auto"/>
        <w:ind w:firstLine="709"/>
        <w:jc w:val="both"/>
        <w:rPr>
          <w:rFonts w:ascii="Times New Roman" w:eastAsia="Times New Roman" w:hAnsi="Times New Roman" w:cs="Times New Roman"/>
          <w:i/>
          <w:color w:val="1B1C1D"/>
          <w:spacing w:val="-2"/>
          <w:sz w:val="28"/>
          <w:szCs w:val="28"/>
          <w:lang w:val="vi-VN"/>
        </w:rPr>
      </w:pPr>
      <w:r w:rsidRPr="00FF6BB8">
        <w:rPr>
          <w:rFonts w:ascii="Times New Roman" w:eastAsia="Times New Roman" w:hAnsi="Times New Roman" w:cs="Times New Roman"/>
          <w:i/>
          <w:color w:val="1B1C1D"/>
          <w:spacing w:val="-2"/>
          <w:sz w:val="28"/>
          <w:szCs w:val="28"/>
          <w:lang w:val="vi-VN"/>
        </w:rPr>
        <w:t>2. Các đơn vị có liên quan đến lập dự toán, quản lý, sử dụng, quyết toán kinh phí ngân sách nhà nước cho nhiệm vụ, hoạt động xây dựng văn bản quy phạm pháp luật</w:t>
      </w:r>
      <w:r w:rsidRPr="00FF6BB8">
        <w:rPr>
          <w:rFonts w:ascii="Times New Roman" w:eastAsia="Times New Roman" w:hAnsi="Times New Roman" w:cs="Times New Roman"/>
          <w:i/>
          <w:color w:val="1B1C1D"/>
          <w:spacing w:val="-2"/>
          <w:sz w:val="28"/>
          <w:szCs w:val="28"/>
        </w:rPr>
        <w:t xml:space="preserve"> của Bộ Xây dựng</w:t>
      </w:r>
      <w:r w:rsidRPr="00FF6BB8">
        <w:rPr>
          <w:rFonts w:ascii="Times New Roman" w:eastAsia="Times New Roman" w:hAnsi="Times New Roman" w:cs="Times New Roman"/>
          <w:i/>
          <w:color w:val="1B1C1D"/>
          <w:spacing w:val="-2"/>
          <w:sz w:val="28"/>
          <w:szCs w:val="28"/>
          <w:lang w:val="vi-VN"/>
        </w:rPr>
        <w:t>.</w:t>
      </w:r>
    </w:p>
    <w:p w:rsidR="00FF6BB8" w:rsidRPr="00FF6BB8" w:rsidRDefault="00FF6BB8" w:rsidP="00C722CC">
      <w:pPr>
        <w:spacing w:before="100" w:after="100" w:line="276" w:lineRule="auto"/>
        <w:ind w:firstLine="709"/>
        <w:jc w:val="both"/>
        <w:rPr>
          <w:rFonts w:ascii="Times New Roman" w:eastAsia="Times New Roman" w:hAnsi="Times New Roman" w:cs="Times New Roman"/>
          <w:color w:val="1B1C1D"/>
          <w:spacing w:val="-2"/>
          <w:sz w:val="28"/>
          <w:szCs w:val="28"/>
        </w:rPr>
      </w:pPr>
      <w:r w:rsidRPr="00FF6BB8">
        <w:rPr>
          <w:rFonts w:ascii="Times New Roman" w:eastAsia="Times New Roman" w:hAnsi="Times New Roman" w:cs="Times New Roman"/>
          <w:i/>
          <w:color w:val="1B1C1D"/>
          <w:spacing w:val="-2"/>
          <w:sz w:val="28"/>
          <w:szCs w:val="28"/>
          <w:lang w:val="vi-VN"/>
        </w:rPr>
        <w:t>3. Các tổ chức, cá nhân khác có liên quan trong việc thực hiện nhiệm vụ, hoạt động của các cơ quan, đơn vị quy định tại khoản 1, khoản 2 Điều này.</w:t>
      </w:r>
      <w:r>
        <w:rPr>
          <w:rFonts w:ascii="Times New Roman" w:eastAsia="Times New Roman" w:hAnsi="Times New Roman" w:cs="Times New Roman"/>
          <w:color w:val="1B1C1D"/>
          <w:spacing w:val="-2"/>
          <w:sz w:val="28"/>
          <w:szCs w:val="28"/>
        </w:rPr>
        <w:t>”.</w:t>
      </w:r>
    </w:p>
    <w:p w:rsidR="00FF6BB8" w:rsidRDefault="00451D2D" w:rsidP="00C722CC">
      <w:pPr>
        <w:spacing w:before="100" w:after="100" w:line="276" w:lineRule="auto"/>
        <w:ind w:firstLine="709"/>
        <w:jc w:val="both"/>
        <w:rPr>
          <w:rFonts w:ascii="Times New Roman" w:eastAsia="Times New Roman" w:hAnsi="Times New Roman" w:cs="Times New Roman"/>
          <w:b/>
          <w:color w:val="1B1C1D"/>
          <w:spacing w:val="-2"/>
          <w:sz w:val="28"/>
          <w:szCs w:val="28"/>
        </w:rPr>
      </w:pPr>
      <w:r>
        <w:rPr>
          <w:rFonts w:ascii="Times New Roman" w:eastAsia="Times New Roman" w:hAnsi="Times New Roman" w:cs="Times New Roman"/>
          <w:b/>
          <w:color w:val="1B1C1D"/>
          <w:spacing w:val="-2"/>
          <w:sz w:val="28"/>
          <w:szCs w:val="28"/>
        </w:rPr>
        <w:t>2</w:t>
      </w:r>
      <w:r w:rsidRPr="00A42F54">
        <w:rPr>
          <w:rFonts w:ascii="Times New Roman" w:eastAsia="Times New Roman" w:hAnsi="Times New Roman" w:cs="Times New Roman"/>
          <w:b/>
          <w:color w:val="1B1C1D"/>
          <w:spacing w:val="-2"/>
          <w:sz w:val="28"/>
          <w:szCs w:val="28"/>
        </w:rPr>
        <w:t xml:space="preserve">. Nội dung </w:t>
      </w:r>
      <w:r w:rsidR="00FF6BB8">
        <w:rPr>
          <w:rFonts w:ascii="Times New Roman" w:eastAsia="Times New Roman" w:hAnsi="Times New Roman" w:cs="Times New Roman"/>
          <w:b/>
          <w:color w:val="1B1C1D"/>
          <w:spacing w:val="-2"/>
          <w:sz w:val="28"/>
          <w:szCs w:val="28"/>
        </w:rPr>
        <w:t xml:space="preserve">cơ bản của dự thảo Thông tư </w:t>
      </w:r>
    </w:p>
    <w:p w:rsidR="00FF6BB8" w:rsidRPr="00FF6BB8" w:rsidRDefault="00FF6BB8" w:rsidP="00C722CC">
      <w:pPr>
        <w:spacing w:before="100" w:after="100" w:line="276" w:lineRule="auto"/>
        <w:ind w:firstLine="709"/>
        <w:jc w:val="both"/>
        <w:rPr>
          <w:rFonts w:ascii="Times New Roman" w:eastAsia="Times New Roman" w:hAnsi="Times New Roman" w:cs="Times New Roman"/>
          <w:b/>
          <w:i/>
          <w:color w:val="1B1C1D"/>
          <w:spacing w:val="-2"/>
          <w:sz w:val="28"/>
          <w:szCs w:val="28"/>
        </w:rPr>
      </w:pPr>
      <w:r>
        <w:rPr>
          <w:rFonts w:ascii="Times New Roman" w:eastAsia="Times New Roman" w:hAnsi="Times New Roman" w:cs="Times New Roman"/>
          <w:b/>
          <w:i/>
          <w:color w:val="1B1C1D"/>
          <w:spacing w:val="-2"/>
          <w:sz w:val="28"/>
          <w:szCs w:val="28"/>
        </w:rPr>
        <w:t>2.1.</w:t>
      </w:r>
      <w:r w:rsidRPr="00FF6BB8">
        <w:rPr>
          <w:rFonts w:ascii="Times New Roman" w:eastAsia="Times New Roman" w:hAnsi="Times New Roman" w:cs="Times New Roman"/>
          <w:b/>
          <w:i/>
          <w:color w:val="1B1C1D"/>
          <w:spacing w:val="-2"/>
          <w:sz w:val="28"/>
          <w:szCs w:val="28"/>
        </w:rPr>
        <w:t xml:space="preserve"> Thể chế hóa chủ trương, đường lối của Đảng, chính sách của Nhà nước</w:t>
      </w:r>
    </w:p>
    <w:p w:rsidR="00FF6BB8" w:rsidRPr="00FF6BB8" w:rsidRDefault="00FF6BB8" w:rsidP="00C722CC">
      <w:pPr>
        <w:spacing w:before="100" w:after="100" w:line="276" w:lineRule="auto"/>
        <w:ind w:firstLine="709"/>
        <w:jc w:val="both"/>
        <w:rPr>
          <w:rFonts w:ascii="Times New Roman" w:eastAsia="Times New Roman" w:hAnsi="Times New Roman" w:cs="Times New Roman"/>
          <w:color w:val="1B1C1D"/>
          <w:spacing w:val="-2"/>
          <w:sz w:val="28"/>
          <w:szCs w:val="28"/>
        </w:rPr>
      </w:pPr>
      <w:r w:rsidRPr="00FF6BB8">
        <w:rPr>
          <w:rFonts w:ascii="Times New Roman" w:eastAsia="Times New Roman" w:hAnsi="Times New Roman" w:cs="Times New Roman"/>
          <w:color w:val="1B1C1D"/>
          <w:spacing w:val="-2"/>
          <w:sz w:val="28"/>
          <w:szCs w:val="28"/>
        </w:rPr>
        <w:t>Dự thảo Thông tư đã thể chế hóa chủ trương, đường lối của Đảng, chính sách của Nhà nước về tạo đột phá trong xây dựng và tổ chức thi hành pháp luật, đưa các cơ chế, chính sách đặc biệt tại Nghị quyết số 66-NQ/TW, Nghị quyết số 297/2025/QH15 và Nghị định số 289/2025/NĐ-CP thành các quy định cụ thể tại dự thảo Thông tư để triển khai trong thực tiễn.</w:t>
      </w:r>
    </w:p>
    <w:p w:rsidR="00FF6BB8" w:rsidRPr="00FF6BB8" w:rsidRDefault="00FF6BB8" w:rsidP="00C722CC">
      <w:pPr>
        <w:spacing w:before="100" w:after="100" w:line="276" w:lineRule="auto"/>
        <w:ind w:firstLine="709"/>
        <w:jc w:val="both"/>
        <w:rPr>
          <w:rFonts w:ascii="Times New Roman" w:eastAsia="Times New Roman" w:hAnsi="Times New Roman" w:cs="Times New Roman"/>
          <w:b/>
          <w:i/>
          <w:color w:val="1B1C1D"/>
          <w:spacing w:val="-2"/>
          <w:sz w:val="28"/>
          <w:szCs w:val="28"/>
          <w:lang w:val="en-GB"/>
        </w:rPr>
      </w:pPr>
      <w:r>
        <w:rPr>
          <w:rFonts w:ascii="Times New Roman" w:eastAsia="Times New Roman" w:hAnsi="Times New Roman" w:cs="Times New Roman"/>
          <w:b/>
          <w:i/>
          <w:color w:val="1B1C1D"/>
          <w:spacing w:val="-2"/>
          <w:sz w:val="28"/>
          <w:szCs w:val="28"/>
          <w:lang w:val="en-GB"/>
        </w:rPr>
        <w:t>2.2</w:t>
      </w:r>
      <w:r w:rsidR="009D674D">
        <w:rPr>
          <w:rFonts w:ascii="Times New Roman" w:eastAsia="Times New Roman" w:hAnsi="Times New Roman" w:cs="Times New Roman"/>
          <w:b/>
          <w:i/>
          <w:color w:val="1B1C1D"/>
          <w:spacing w:val="-2"/>
          <w:sz w:val="28"/>
          <w:szCs w:val="28"/>
          <w:lang w:val="en-GB"/>
        </w:rPr>
        <w:t>.</w:t>
      </w:r>
      <w:r w:rsidRPr="00FF6BB8">
        <w:rPr>
          <w:rFonts w:ascii="Times New Roman" w:eastAsia="Times New Roman" w:hAnsi="Times New Roman" w:cs="Times New Roman"/>
          <w:b/>
          <w:i/>
          <w:color w:val="1B1C1D"/>
          <w:spacing w:val="-2"/>
          <w:sz w:val="28"/>
          <w:szCs w:val="28"/>
          <w:lang w:val="en-GB"/>
        </w:rPr>
        <w:t xml:space="preserve"> Các nội dung chưa được pháp luật quy định</w:t>
      </w:r>
    </w:p>
    <w:p w:rsidR="00FF6BB8" w:rsidRPr="00FF6BB8" w:rsidRDefault="00FF6BB8" w:rsidP="00C722CC">
      <w:pPr>
        <w:spacing w:before="100" w:after="100" w:line="276" w:lineRule="auto"/>
        <w:ind w:firstLine="709"/>
        <w:jc w:val="both"/>
        <w:rPr>
          <w:rFonts w:ascii="Times New Roman" w:eastAsia="Times New Roman" w:hAnsi="Times New Roman" w:cs="Times New Roman"/>
          <w:color w:val="1B1C1D"/>
          <w:spacing w:val="-2"/>
          <w:sz w:val="28"/>
          <w:szCs w:val="28"/>
          <w:lang w:val="en-GB"/>
        </w:rPr>
      </w:pPr>
      <w:r w:rsidRPr="00FF6BB8">
        <w:rPr>
          <w:rFonts w:ascii="Times New Roman" w:eastAsia="Times New Roman" w:hAnsi="Times New Roman" w:cs="Times New Roman"/>
          <w:color w:val="1B1C1D"/>
          <w:spacing w:val="-2"/>
          <w:sz w:val="28"/>
          <w:szCs w:val="28"/>
          <w:lang w:val="en-GB"/>
        </w:rPr>
        <w:t>Căn cứ Nghị quyết 197/2025/QH15, Luật Ban hành văn bản QPPL; Nghị định số 78/2025/NĐ-CP, Quyết định số 706/QĐ-BXD, dự thảo Thông tư đã quy định rõ:</w:t>
      </w:r>
    </w:p>
    <w:p w:rsidR="00FF6BB8" w:rsidRPr="00FF6BB8" w:rsidRDefault="00FF6BB8" w:rsidP="00C722CC">
      <w:pPr>
        <w:spacing w:before="100" w:after="100" w:line="276" w:lineRule="auto"/>
        <w:ind w:firstLine="709"/>
        <w:jc w:val="both"/>
        <w:rPr>
          <w:rFonts w:ascii="Times New Roman" w:hAnsi="Times New Roman" w:cs="Times New Roman"/>
          <w:bCs/>
          <w:spacing w:val="-2"/>
          <w:sz w:val="28"/>
          <w:szCs w:val="28"/>
        </w:rPr>
      </w:pPr>
      <w:r w:rsidRPr="00FF6BB8">
        <w:rPr>
          <w:rFonts w:ascii="Times New Roman" w:hAnsi="Times New Roman" w:cs="Times New Roman"/>
          <w:i/>
          <w:spacing w:val="-2"/>
          <w:sz w:val="28"/>
          <w:szCs w:val="28"/>
        </w:rPr>
        <w:t xml:space="preserve">a) </w:t>
      </w:r>
      <w:r w:rsidRPr="00FF6BB8">
        <w:rPr>
          <w:rFonts w:ascii="Times New Roman" w:hAnsi="Times New Roman"/>
          <w:i/>
          <w:sz w:val="28"/>
          <w:lang w:val="en-GB"/>
        </w:rPr>
        <w:t>Quy định danh mục nhiệm vụ, hoạt động và định mức khoán chi cho từng nhiệm vụ, hoạt động xây dựng thông tư, thông tư liên tịch</w:t>
      </w:r>
    </w:p>
    <w:p w:rsidR="00FF6BB8" w:rsidRPr="00FF6BB8" w:rsidRDefault="00FF6BB8" w:rsidP="00C722CC">
      <w:pPr>
        <w:spacing w:before="100" w:after="100" w:line="276" w:lineRule="auto"/>
        <w:ind w:firstLine="709"/>
        <w:jc w:val="both"/>
        <w:rPr>
          <w:rFonts w:ascii="Times New Roman" w:hAnsi="Times New Roman"/>
          <w:sz w:val="28"/>
          <w:lang w:val="en-GB"/>
        </w:rPr>
      </w:pPr>
      <w:r w:rsidRPr="00FF6BB8">
        <w:rPr>
          <w:rFonts w:ascii="Times New Roman" w:hAnsi="Times New Roman"/>
          <w:sz w:val="28"/>
          <w:lang w:val="en-GB"/>
        </w:rPr>
        <w:t xml:space="preserve">Trên cơ sở quy định tổng mức chi trong xây dựng văn bản QPPL tại Phụ lục II ban hành kèm theo Nghị quyết 197/2025/QH15, các bước của quy trình xây dựng thông tư, thông tư liên tịch theo Nghị định số 78/2025/NĐ-CP và Quy chế soạn thảo văn bản QPPL ban hành kèm theo Quyết định số 706/QĐ-BXD ngày 28/5/2025 của Bộ trưởng Bộ Xây dựng, dự thảo Thông tư đã quy định định mức khoán chi cụ thể cho từng nhiệm vụ, hoạt động xây dựng đối với dự thảo thông tư do Bộ trưởng Bộ </w:t>
      </w:r>
      <w:r w:rsidRPr="00FF6BB8">
        <w:rPr>
          <w:rFonts w:ascii="Times New Roman" w:hAnsi="Times New Roman"/>
          <w:sz w:val="28"/>
          <w:lang w:val="en-GB"/>
        </w:rPr>
        <w:lastRenderedPageBreak/>
        <w:t xml:space="preserve">Xây dựng ban hành theo thẩm quyền và thông tư liên tịch do Bộ Xây dựng chủ trì soạn thảo. Quy định này giúp bảo đảm tính rõ ràng và bao quát các trường hợp xây dựng thông tư, thông tư liên tịch thuộc thẩm quyền của Bộ Xây dựng. </w:t>
      </w:r>
    </w:p>
    <w:p w:rsidR="00FF6BB8" w:rsidRPr="00FF6BB8" w:rsidRDefault="00FF6BB8" w:rsidP="00C722CC">
      <w:pPr>
        <w:spacing w:before="100" w:after="100" w:line="276" w:lineRule="auto"/>
        <w:ind w:firstLine="709"/>
        <w:jc w:val="both"/>
        <w:rPr>
          <w:rFonts w:ascii="Times New Roman" w:hAnsi="Times New Roman"/>
          <w:i/>
          <w:sz w:val="28"/>
          <w:lang w:val="en-GB"/>
        </w:rPr>
      </w:pPr>
      <w:r w:rsidRPr="00FF6BB8">
        <w:rPr>
          <w:rFonts w:ascii="Times New Roman" w:hAnsi="Times New Roman"/>
          <w:i/>
          <w:sz w:val="28"/>
          <w:lang w:val="en-GB"/>
        </w:rPr>
        <w:t>b) Xác định mức kinh phí phân bổ cho cơ quan chủ trì soạn thảo và cơ quan tham mưu trình theo tỷ lệ 70% - 30%</w:t>
      </w:r>
    </w:p>
    <w:p w:rsidR="00FF6BB8" w:rsidRPr="00FF6BB8" w:rsidRDefault="00FF6BB8" w:rsidP="00C722CC">
      <w:pPr>
        <w:spacing w:before="100" w:after="100" w:line="276" w:lineRule="auto"/>
        <w:ind w:firstLine="709"/>
        <w:jc w:val="both"/>
        <w:rPr>
          <w:rFonts w:ascii="Times New Roman" w:hAnsi="Times New Roman"/>
          <w:sz w:val="28"/>
        </w:rPr>
      </w:pPr>
      <w:r w:rsidRPr="00FF6BB8">
        <w:rPr>
          <w:rFonts w:ascii="Times New Roman" w:hAnsi="Times New Roman"/>
          <w:sz w:val="28"/>
        </w:rPr>
        <w:t>Dự thảo Thông tư  x</w:t>
      </w:r>
      <w:r w:rsidRPr="00FF6BB8">
        <w:rPr>
          <w:rFonts w:ascii="Times New Roman" w:hAnsi="Times New Roman"/>
          <w:sz w:val="28"/>
          <w:lang w:val="en-GB"/>
        </w:rPr>
        <w:t xml:space="preserve">ác định mức kinh phí phân bổ cho cơ quan chủ trì soạn thảo và cơ quan tham mưu trình theo tỷ </w:t>
      </w:r>
      <w:r w:rsidRPr="00FF6BB8">
        <w:rPr>
          <w:rFonts w:ascii="Times New Roman" w:hAnsi="Times New Roman"/>
          <w:sz w:val="28"/>
        </w:rPr>
        <w:t>lệ: 70% cho đơn vị chủ trì soạn thảo và 30% cho đơn vị tham mưu trình. Tỷ lệ này được tính toán trên cơ sở cân đối khối lượng các công việc trên thực tế của đơn vị chủ trì soạn thảo và đơn vị tham mưu trình. Hồ sơ thanh toán là các sản phẩm theo hồ sơ trình dự thảo Thông tư và các sản phẩm khác có liên quan trong quá trình soạn thảo Thông tư do 02 đơn vị chủ trì soạn thảo và tham mưu trình cùng thực hiện và cùng chịu trách nhiệm. Việc phân bổ tỷ lệ 70% cho đơn vị chủ trì soạn thảo để đảm bảo cho nghiên cứu, thuê chuyên gia (nếu cần), xây dựng hồ sơ dự thảo Thông tư; 30% cho đơn vị tham mưu trình là phù hợp để hoàn thiện hồ sơ, triển khai các quy trình, thủ tục trên cơ sở sản phẩm nghiên cứu, xây dựng của đơn vị chủ trì soạn thảo.</w:t>
      </w:r>
    </w:p>
    <w:p w:rsidR="00FF6BB8" w:rsidRPr="00FF6BB8" w:rsidRDefault="00FF6BB8" w:rsidP="00C722CC">
      <w:pPr>
        <w:spacing w:before="100" w:after="100" w:line="276" w:lineRule="auto"/>
        <w:ind w:firstLine="709"/>
        <w:jc w:val="both"/>
        <w:rPr>
          <w:rFonts w:ascii="Times New Roman" w:hAnsi="Times New Roman"/>
          <w:i/>
          <w:sz w:val="28"/>
        </w:rPr>
      </w:pPr>
      <w:r w:rsidRPr="00FF6BB8">
        <w:rPr>
          <w:rFonts w:ascii="Times New Roman" w:hAnsi="Times New Roman"/>
          <w:i/>
          <w:sz w:val="28"/>
        </w:rPr>
        <w:t>c) Bổ sung quy định về cách thức chi đối với Thông tư liên tịch</w:t>
      </w:r>
    </w:p>
    <w:p w:rsidR="00FF6BB8" w:rsidRPr="00FF6BB8" w:rsidRDefault="00FF6BB8" w:rsidP="00C722CC">
      <w:pPr>
        <w:spacing w:before="100" w:after="100" w:line="276" w:lineRule="auto"/>
        <w:ind w:firstLine="709"/>
        <w:jc w:val="both"/>
        <w:rPr>
          <w:rFonts w:ascii="Times New Roman" w:hAnsi="Times New Roman"/>
          <w:sz w:val="28"/>
        </w:rPr>
      </w:pPr>
      <w:r w:rsidRPr="00FF6BB8">
        <w:rPr>
          <w:rFonts w:ascii="Times New Roman" w:hAnsi="Times New Roman"/>
          <w:sz w:val="28"/>
        </w:rPr>
        <w:t xml:space="preserve">Theo quy định của Luật Ban hành văn bản QPPL, Thông tư liên tịch </w:t>
      </w:r>
      <w:r w:rsidRPr="00FF6BB8">
        <w:rPr>
          <w:rFonts w:ascii="Times New Roman" w:hAnsi="Times New Roman"/>
          <w:sz w:val="28"/>
          <w:lang w:val="en-GB"/>
        </w:rPr>
        <w:t xml:space="preserve">giữa Chánh án Tòa án nhân dân tối cao, Viện trưởng Viện kiểm sát nhân dân tối cao, Tổng Kiểm toán nhà nước, Bộ trưởng, Thủ trưởng cơ quan ngang Bộ là văn bản QPPL (khoản 9 Điều 4). Vì vậy, </w:t>
      </w:r>
      <w:r>
        <w:rPr>
          <w:rFonts w:ascii="Times New Roman" w:hAnsi="Times New Roman"/>
          <w:sz w:val="28"/>
          <w:lang w:val="en-GB"/>
        </w:rPr>
        <w:t>dự thảo Thông tư đã</w:t>
      </w:r>
      <w:r w:rsidRPr="00FF6BB8">
        <w:rPr>
          <w:rFonts w:ascii="Times New Roman" w:hAnsi="Times New Roman"/>
          <w:sz w:val="28"/>
          <w:lang w:val="en-GB"/>
        </w:rPr>
        <w:t xml:space="preserve"> bổ sung quy định về cách thức chi đối với Thông tư liên tịch thuộc thẩm quyền của Bộ trưởng Bộ Xây dựng để quy định đầy đủ, bao quát các trường hợp thuộc thẩm quyền xây dựng văn bản quy phạm pháp luật của Bộ Xây dựng (quy định tại khoản 2 Điều 4, khoản 6 Điều 6 và mục B Phụ lục Thông tư).</w:t>
      </w:r>
    </w:p>
    <w:p w:rsidR="00FF6BB8" w:rsidRPr="00FF6BB8" w:rsidRDefault="00FF6BB8" w:rsidP="00C722CC">
      <w:pPr>
        <w:spacing w:before="100" w:after="100" w:line="276" w:lineRule="auto"/>
        <w:ind w:firstLine="709"/>
        <w:jc w:val="both"/>
        <w:rPr>
          <w:rFonts w:ascii="Times New Roman" w:hAnsi="Times New Roman"/>
          <w:i/>
          <w:sz w:val="28"/>
          <w:szCs w:val="28"/>
          <w:lang w:val="en-GB"/>
        </w:rPr>
      </w:pPr>
      <w:r w:rsidRPr="00FF6BB8">
        <w:rPr>
          <w:rFonts w:ascii="Times New Roman" w:hAnsi="Times New Roman"/>
          <w:i/>
          <w:sz w:val="28"/>
        </w:rPr>
        <w:t xml:space="preserve">d) </w:t>
      </w:r>
      <w:r w:rsidRPr="00FF6BB8">
        <w:rPr>
          <w:rFonts w:ascii="Times New Roman" w:hAnsi="Times New Roman"/>
          <w:i/>
          <w:sz w:val="28"/>
          <w:szCs w:val="28"/>
          <w:lang w:val="en-GB"/>
        </w:rPr>
        <w:t xml:space="preserve">Bổ sung quy định về công tác lập dự toán </w:t>
      </w:r>
    </w:p>
    <w:p w:rsidR="00FF6BB8" w:rsidRPr="00FF6BB8" w:rsidRDefault="00FF6BB8" w:rsidP="00C722CC">
      <w:pPr>
        <w:widowControl w:val="0"/>
        <w:spacing w:before="100" w:after="100" w:line="276" w:lineRule="auto"/>
        <w:ind w:firstLine="709"/>
        <w:jc w:val="both"/>
        <w:rPr>
          <w:rFonts w:ascii="Times New Roman" w:hAnsi="Times New Roman"/>
          <w:sz w:val="28"/>
          <w:szCs w:val="28"/>
          <w:lang w:val="vi-VN"/>
        </w:rPr>
      </w:pPr>
      <w:r w:rsidRPr="00FF6BB8">
        <w:rPr>
          <w:rFonts w:ascii="Times New Roman" w:hAnsi="Times New Roman"/>
          <w:sz w:val="28"/>
          <w:lang w:val="en-GB"/>
        </w:rPr>
        <w:t>Dự thảo Thông tư đã quy định cụ thể trách nhiệm của các cơ quan, đơn vị thuộc Bộ trong việc lập dự toán trên cơ sở chương trình xây dựng văn bản QPPL hằng năm của Bộ; thẩm quyền phê duyệt, điều chỉnh dự toán; hồ sơ thanh toán, quyết toán kinh phí… Quy định này giúp</w:t>
      </w:r>
      <w:r w:rsidRPr="00FF6BB8">
        <w:rPr>
          <w:rFonts w:ascii="Times New Roman" w:hAnsi="Times New Roman"/>
          <w:sz w:val="28"/>
          <w:szCs w:val="28"/>
          <w:lang w:val="en-GB"/>
        </w:rPr>
        <w:t xml:space="preserve"> làm rõ quy trình và trách nhiệm phê duyệt, tổng hợp dự</w:t>
      </w:r>
      <w:r>
        <w:rPr>
          <w:rFonts w:ascii="Times New Roman" w:hAnsi="Times New Roman"/>
          <w:sz w:val="28"/>
          <w:szCs w:val="28"/>
          <w:lang w:val="en-GB"/>
        </w:rPr>
        <w:t xml:space="preserve"> toán.</w:t>
      </w:r>
    </w:p>
    <w:p w:rsidR="00FF6BB8" w:rsidRPr="00FF6BB8" w:rsidRDefault="00FF6BB8" w:rsidP="00C722CC">
      <w:pPr>
        <w:spacing w:before="100" w:after="100" w:line="276" w:lineRule="auto"/>
        <w:ind w:firstLine="709"/>
        <w:jc w:val="both"/>
        <w:rPr>
          <w:rFonts w:ascii="Times New Roman" w:hAnsi="Times New Roman"/>
          <w:i/>
          <w:sz w:val="28"/>
        </w:rPr>
      </w:pPr>
      <w:r w:rsidRPr="00FF6BB8">
        <w:rPr>
          <w:rFonts w:ascii="Times New Roman" w:hAnsi="Times New Roman"/>
          <w:i/>
          <w:sz w:val="28"/>
        </w:rPr>
        <w:t>đ) Quy định</w:t>
      </w:r>
      <w:r w:rsidR="008C0C32">
        <w:rPr>
          <w:rFonts w:ascii="Times New Roman" w:hAnsi="Times New Roman"/>
          <w:i/>
          <w:sz w:val="28"/>
        </w:rPr>
        <w:t xml:space="preserve"> về</w:t>
      </w:r>
      <w:r w:rsidRPr="00FF6BB8">
        <w:rPr>
          <w:rFonts w:ascii="Times New Roman" w:hAnsi="Times New Roman"/>
          <w:i/>
          <w:sz w:val="28"/>
        </w:rPr>
        <w:t xml:space="preserve"> </w:t>
      </w:r>
      <w:r w:rsidR="008C0C32">
        <w:rPr>
          <w:rFonts w:ascii="Times New Roman" w:hAnsi="Times New Roman"/>
          <w:i/>
          <w:sz w:val="28"/>
        </w:rPr>
        <w:t>thời gian áp dụng</w:t>
      </w:r>
    </w:p>
    <w:p w:rsidR="00FF6BB8" w:rsidRPr="00FF6BB8" w:rsidRDefault="00FF6BB8" w:rsidP="00C722CC">
      <w:pPr>
        <w:spacing w:before="120" w:after="120" w:line="276" w:lineRule="auto"/>
        <w:ind w:firstLine="709"/>
        <w:jc w:val="both"/>
        <w:rPr>
          <w:rFonts w:ascii="Times New Roman" w:hAnsi="Times New Roman"/>
          <w:sz w:val="28"/>
        </w:rPr>
      </w:pPr>
      <w:r>
        <w:rPr>
          <w:rFonts w:ascii="Times New Roman" w:hAnsi="Times New Roman"/>
          <w:sz w:val="28"/>
        </w:rPr>
        <w:t>D</w:t>
      </w:r>
      <w:r w:rsidRPr="00FF6BB8">
        <w:rPr>
          <w:rFonts w:ascii="Times New Roman" w:hAnsi="Times New Roman"/>
          <w:sz w:val="28"/>
        </w:rPr>
        <w:t xml:space="preserve">ự thảo Thông tư </w:t>
      </w:r>
      <w:r>
        <w:rPr>
          <w:rFonts w:ascii="Times New Roman" w:hAnsi="Times New Roman"/>
          <w:sz w:val="28"/>
        </w:rPr>
        <w:t>đã</w:t>
      </w:r>
      <w:r w:rsidRPr="00FF6BB8">
        <w:rPr>
          <w:rFonts w:ascii="Times New Roman" w:hAnsi="Times New Roman"/>
          <w:sz w:val="28"/>
        </w:rPr>
        <w:t xml:space="preserve"> xác định mốc </w:t>
      </w:r>
      <w:r w:rsidR="00CC0FDA">
        <w:rPr>
          <w:rFonts w:ascii="Times New Roman" w:hAnsi="Times New Roman"/>
          <w:sz w:val="28"/>
        </w:rPr>
        <w:t>thời gian áp dụng</w:t>
      </w:r>
      <w:r w:rsidRPr="00FF6BB8">
        <w:rPr>
          <w:rFonts w:ascii="Times New Roman" w:hAnsi="Times New Roman"/>
          <w:sz w:val="28"/>
        </w:rPr>
        <w:t xml:space="preserve"> đối với c</w:t>
      </w:r>
      <w:r w:rsidRPr="00FF6BB8">
        <w:rPr>
          <w:rFonts w:ascii="Times New Roman" w:hAnsi="Times New Roman"/>
          <w:sz w:val="28"/>
          <w:szCs w:val="28"/>
          <w:lang w:val="en-GB"/>
        </w:rPr>
        <w:t>ác nhiệm vụ, hoạt động xây dựng văn bản quy phạm pháp luật thực hiện</w:t>
      </w:r>
      <w:r w:rsidRPr="00FF6BB8">
        <w:rPr>
          <w:rFonts w:ascii="Times New Roman" w:hAnsi="Times New Roman"/>
          <w:sz w:val="28"/>
        </w:rPr>
        <w:t xml:space="preserve"> từ ngày 01/01/2026 nhằm </w:t>
      </w:r>
      <w:r w:rsidRPr="00FF6BB8">
        <w:rPr>
          <w:rFonts w:ascii="Times New Roman" w:hAnsi="Times New Roman"/>
          <w:sz w:val="28"/>
        </w:rPr>
        <w:lastRenderedPageBreak/>
        <w:t>đảm bảo đồng bộ với niên độ ngân sách năm 2026 của Bộ</w:t>
      </w:r>
      <w:r w:rsidR="00F16618">
        <w:rPr>
          <w:rFonts w:ascii="Times New Roman" w:hAnsi="Times New Roman"/>
          <w:sz w:val="28"/>
        </w:rPr>
        <w:t xml:space="preserve"> Xây dựng</w:t>
      </w:r>
      <w:r w:rsidRPr="00FF6BB8">
        <w:rPr>
          <w:rFonts w:ascii="Times New Roman" w:hAnsi="Times New Roman"/>
          <w:sz w:val="28"/>
        </w:rPr>
        <w:t>. Đối với các nhiệm vụ thực hiện trong nửa cuối năm 2025, các đơn vị tiếp tục thanh, quyết toán theo định mức tại Nghị quyết số 197/2025/QH15 và dự toán đã phê duyệt để đảm bảo tính liên tục, không gây xáo trộn trong quyết toán niên độ ngân sách cũ. Quy định này giúp làm rõ căn cứ áp dụng định mức mới cho các hoạt động thực tế phát sinh từ đầu năm 2026, tạo điều kiện thuận lợi cho công tác giải ngân mà không vi phạm nguyên tắc về hiệu lực của văn bản quy phạm pháp luật.</w:t>
      </w:r>
    </w:p>
    <w:p w:rsidR="00FF6BB8" w:rsidRPr="00FF6BB8" w:rsidRDefault="00FF6BB8" w:rsidP="00C722CC">
      <w:pPr>
        <w:spacing w:before="120" w:after="120" w:line="276" w:lineRule="auto"/>
        <w:ind w:firstLine="709"/>
        <w:jc w:val="both"/>
        <w:rPr>
          <w:rFonts w:ascii="Times New Roman" w:hAnsi="Times New Roman"/>
          <w:i/>
          <w:sz w:val="28"/>
        </w:rPr>
      </w:pPr>
      <w:r w:rsidRPr="00FF6BB8">
        <w:rPr>
          <w:rFonts w:ascii="Times New Roman" w:hAnsi="Times New Roman"/>
          <w:i/>
          <w:sz w:val="28"/>
        </w:rPr>
        <w:t>e) Định mức khoán chi tại Phụ lục kèm theo dự thảo Thông tư</w:t>
      </w:r>
    </w:p>
    <w:p w:rsidR="00FF6BB8" w:rsidRPr="00FF6BB8" w:rsidRDefault="00FF6BB8" w:rsidP="00C722CC">
      <w:pPr>
        <w:spacing w:before="120" w:after="120" w:line="276" w:lineRule="auto"/>
        <w:ind w:firstLine="709"/>
        <w:jc w:val="both"/>
        <w:rPr>
          <w:rFonts w:ascii="Times New Roman" w:hAnsi="Times New Roman"/>
          <w:sz w:val="28"/>
          <w:lang w:val="vi-VN"/>
        </w:rPr>
      </w:pPr>
      <w:r w:rsidRPr="00FF6BB8">
        <w:rPr>
          <w:rFonts w:ascii="Times New Roman" w:hAnsi="Times New Roman"/>
          <w:sz w:val="28"/>
        </w:rPr>
        <w:t>Phụ lục kèm theo dự thảo Thông tư là quy định mở, cho phép các đơn vị tham gia hoạt động xây dựng văn bản QPPL được điều chỉnh định mức trên nguyên tắc không vượt khung tối đa và đã phân bổ công tác dự phòng cho các nhiệm vụ chi phát sinh, công tác dự phòng cho nhiệm vụ hậu kiểm…</w:t>
      </w:r>
    </w:p>
    <w:p w:rsidR="00FF6BB8" w:rsidRPr="00FF6BB8" w:rsidRDefault="00FF6BB8" w:rsidP="00C722CC">
      <w:pPr>
        <w:spacing w:before="120" w:after="120" w:line="276" w:lineRule="auto"/>
        <w:ind w:firstLine="709"/>
        <w:jc w:val="both"/>
        <w:rPr>
          <w:rFonts w:ascii="Times New Roman" w:hAnsi="Times New Roman"/>
          <w:i/>
          <w:sz w:val="28"/>
        </w:rPr>
      </w:pPr>
      <w:r w:rsidRPr="00FF6BB8">
        <w:rPr>
          <w:rFonts w:ascii="Times New Roman" w:hAnsi="Times New Roman"/>
          <w:i/>
          <w:sz w:val="28"/>
        </w:rPr>
        <w:t>g)</w:t>
      </w:r>
      <w:r w:rsidRPr="00FF6BB8">
        <w:rPr>
          <w:rFonts w:ascii="Times New Roman" w:hAnsi="Times New Roman"/>
          <w:i/>
          <w:sz w:val="28"/>
          <w:lang w:val="vi-VN"/>
        </w:rPr>
        <w:t xml:space="preserve"> </w:t>
      </w:r>
      <w:r w:rsidRPr="00FF6BB8">
        <w:rPr>
          <w:rFonts w:ascii="Times New Roman" w:hAnsi="Times New Roman"/>
          <w:i/>
          <w:sz w:val="28"/>
        </w:rPr>
        <w:t>Phân định</w:t>
      </w:r>
      <w:r w:rsidRPr="00FF6BB8">
        <w:rPr>
          <w:rFonts w:ascii="Times New Roman" w:hAnsi="Times New Roman"/>
          <w:i/>
          <w:sz w:val="28"/>
          <w:lang w:val="vi-VN"/>
        </w:rPr>
        <w:t xml:space="preserve"> tỷ lệ 100</w:t>
      </w:r>
      <w:r w:rsidRPr="00FF6BB8">
        <w:rPr>
          <w:rFonts w:ascii="Times New Roman" w:hAnsi="Times New Roman"/>
          <w:i/>
          <w:sz w:val="28"/>
        </w:rPr>
        <w:t>%</w:t>
      </w:r>
      <w:r w:rsidRPr="00FF6BB8">
        <w:rPr>
          <w:rFonts w:ascii="Times New Roman" w:hAnsi="Times New Roman"/>
          <w:i/>
          <w:sz w:val="28"/>
          <w:lang w:val="vi-VN"/>
        </w:rPr>
        <w:t>, 60</w:t>
      </w:r>
      <w:r w:rsidRPr="00FF6BB8">
        <w:rPr>
          <w:rFonts w:ascii="Times New Roman" w:hAnsi="Times New Roman"/>
          <w:i/>
          <w:sz w:val="28"/>
        </w:rPr>
        <w:t>%</w:t>
      </w:r>
      <w:r w:rsidRPr="00FF6BB8">
        <w:rPr>
          <w:rFonts w:ascii="Times New Roman" w:hAnsi="Times New Roman"/>
          <w:i/>
          <w:sz w:val="28"/>
          <w:lang w:val="vi-VN"/>
        </w:rPr>
        <w:t>, 30%</w:t>
      </w:r>
      <w:r w:rsidRPr="00FF6BB8">
        <w:rPr>
          <w:rFonts w:ascii="Times New Roman" w:hAnsi="Times New Roman"/>
          <w:i/>
          <w:sz w:val="28"/>
        </w:rPr>
        <w:t xml:space="preserve"> trong xác định định định mức chi của từng hình thức xây dựng, ban hành Thông tư</w:t>
      </w:r>
    </w:p>
    <w:p w:rsidR="00FF6BB8" w:rsidRPr="00FF6BB8" w:rsidRDefault="00FF6BB8" w:rsidP="00C722CC">
      <w:pPr>
        <w:spacing w:before="120" w:after="120" w:line="276" w:lineRule="auto"/>
        <w:ind w:firstLine="709"/>
        <w:jc w:val="both"/>
        <w:rPr>
          <w:rFonts w:ascii="Times New Roman" w:hAnsi="Times New Roman"/>
          <w:sz w:val="28"/>
        </w:rPr>
      </w:pPr>
      <w:r w:rsidRPr="00FF6BB8">
        <w:rPr>
          <w:rFonts w:ascii="Times New Roman" w:hAnsi="Times New Roman"/>
          <w:sz w:val="28"/>
        </w:rPr>
        <w:t>Tại Phụ lục kèm theo dự thảo Thông tư đã phân định rõ định mức chi tối đa đối với nhiệm vụ xây dựng, ban hành Thông tư theo từng hình thức cụ thể, gồm:</w:t>
      </w:r>
    </w:p>
    <w:p w:rsidR="00FF6BB8" w:rsidRPr="00FF6BB8" w:rsidRDefault="00FF6BB8" w:rsidP="00C722CC">
      <w:pPr>
        <w:spacing w:before="120" w:after="120" w:line="276" w:lineRule="auto"/>
        <w:ind w:firstLine="709"/>
        <w:jc w:val="both"/>
        <w:rPr>
          <w:rFonts w:ascii="Times New Roman" w:hAnsi="Times New Roman"/>
          <w:sz w:val="28"/>
        </w:rPr>
      </w:pPr>
      <w:r w:rsidRPr="00FF6BB8">
        <w:rPr>
          <w:rFonts w:ascii="Times New Roman" w:hAnsi="Times New Roman"/>
          <w:sz w:val="28"/>
        </w:rPr>
        <w:t>- Đối với xây dựng, ban hành Thông tư ban hành mới hoặc thay thế: áp dụng tỷ lệ 100% định mức tối đa công tác xây dựng, ban hành Thông tư (tối đa 350 triệu đồng);</w:t>
      </w:r>
    </w:p>
    <w:p w:rsidR="00FF6BB8" w:rsidRPr="00FF6BB8" w:rsidRDefault="00FF6BB8" w:rsidP="00C722CC">
      <w:pPr>
        <w:spacing w:before="120" w:after="120" w:line="276" w:lineRule="auto"/>
        <w:ind w:firstLine="709"/>
        <w:jc w:val="both"/>
        <w:rPr>
          <w:rFonts w:ascii="Times New Roman" w:hAnsi="Times New Roman"/>
          <w:sz w:val="28"/>
        </w:rPr>
      </w:pPr>
      <w:r w:rsidRPr="00FF6BB8">
        <w:rPr>
          <w:rFonts w:ascii="Times New Roman" w:hAnsi="Times New Roman"/>
          <w:sz w:val="28"/>
        </w:rPr>
        <w:t xml:space="preserve">- Đối với xây dựng, ban hành Thông tư sửa đổi, bổ sung một số điều: áp dụng tỷ lệ </w:t>
      </w:r>
      <w:r w:rsidRPr="00FF6BB8">
        <w:rPr>
          <w:rFonts w:ascii="Times New Roman" w:hAnsi="Times New Roman"/>
          <w:sz w:val="28"/>
          <w:lang w:val="vi-VN"/>
        </w:rPr>
        <w:t xml:space="preserve">60% định mức khoán chi </w:t>
      </w:r>
      <w:r w:rsidRPr="00FF6BB8">
        <w:rPr>
          <w:rFonts w:ascii="Times New Roman" w:hAnsi="Times New Roman"/>
          <w:sz w:val="28"/>
        </w:rPr>
        <w:t xml:space="preserve">công tác </w:t>
      </w:r>
      <w:r w:rsidRPr="00FF6BB8">
        <w:rPr>
          <w:rFonts w:ascii="Times New Roman" w:hAnsi="Times New Roman"/>
          <w:sz w:val="28"/>
          <w:lang w:val="vi-VN"/>
        </w:rPr>
        <w:t>xây dựng, ban</w:t>
      </w:r>
      <w:r w:rsidRPr="00FF6BB8">
        <w:rPr>
          <w:rFonts w:ascii="Times New Roman" w:hAnsi="Times New Roman"/>
          <w:sz w:val="28"/>
        </w:rPr>
        <w:t xml:space="preserve"> hành </w:t>
      </w:r>
      <w:r w:rsidRPr="00FF6BB8">
        <w:rPr>
          <w:rFonts w:ascii="Times New Roman" w:hAnsi="Times New Roman"/>
          <w:sz w:val="28"/>
          <w:lang w:val="vi-VN"/>
        </w:rPr>
        <w:t>Thông tư</w:t>
      </w:r>
      <w:r w:rsidRPr="00FF6BB8">
        <w:rPr>
          <w:rFonts w:ascii="Times New Roman" w:hAnsi="Times New Roman"/>
          <w:sz w:val="28"/>
        </w:rPr>
        <w:t xml:space="preserve"> (tối đa 210 triệu đồng);</w:t>
      </w:r>
    </w:p>
    <w:p w:rsidR="00FF6BB8" w:rsidRPr="00FF6BB8" w:rsidRDefault="00FF6BB8" w:rsidP="00C722CC">
      <w:pPr>
        <w:spacing w:before="120" w:after="120" w:line="276" w:lineRule="auto"/>
        <w:ind w:firstLine="709"/>
        <w:jc w:val="both"/>
        <w:rPr>
          <w:rFonts w:ascii="Times New Roman" w:hAnsi="Times New Roman"/>
          <w:sz w:val="28"/>
        </w:rPr>
      </w:pPr>
      <w:r w:rsidRPr="00FF6BB8">
        <w:rPr>
          <w:rFonts w:ascii="Times New Roman" w:hAnsi="Times New Roman"/>
          <w:sz w:val="28"/>
        </w:rPr>
        <w:t>- Đối với xây dựng, ban hành Thông tư bãi bỏ: áp dụng tỷ lệ 3</w:t>
      </w:r>
      <w:r w:rsidRPr="00FF6BB8">
        <w:rPr>
          <w:rFonts w:ascii="Times New Roman" w:hAnsi="Times New Roman"/>
          <w:sz w:val="28"/>
          <w:lang w:val="vi-VN"/>
        </w:rPr>
        <w:t xml:space="preserve">0% định mức khoán chi </w:t>
      </w:r>
      <w:r w:rsidRPr="00FF6BB8">
        <w:rPr>
          <w:rFonts w:ascii="Times New Roman" w:hAnsi="Times New Roman"/>
          <w:sz w:val="28"/>
        </w:rPr>
        <w:t xml:space="preserve">công tác </w:t>
      </w:r>
      <w:r w:rsidRPr="00FF6BB8">
        <w:rPr>
          <w:rFonts w:ascii="Times New Roman" w:hAnsi="Times New Roman"/>
          <w:sz w:val="28"/>
          <w:lang w:val="vi-VN"/>
        </w:rPr>
        <w:t>xây dựng, ban</w:t>
      </w:r>
      <w:r w:rsidRPr="00FF6BB8">
        <w:rPr>
          <w:rFonts w:ascii="Times New Roman" w:hAnsi="Times New Roman"/>
          <w:sz w:val="28"/>
        </w:rPr>
        <w:t xml:space="preserve"> hành </w:t>
      </w:r>
      <w:r w:rsidRPr="00FF6BB8">
        <w:rPr>
          <w:rFonts w:ascii="Times New Roman" w:hAnsi="Times New Roman"/>
          <w:sz w:val="28"/>
          <w:lang w:val="vi-VN"/>
        </w:rPr>
        <w:t>Thông tư</w:t>
      </w:r>
      <w:r w:rsidRPr="00FF6BB8">
        <w:rPr>
          <w:rFonts w:ascii="Times New Roman" w:hAnsi="Times New Roman"/>
          <w:sz w:val="28"/>
        </w:rPr>
        <w:t xml:space="preserve"> (tối đa 105 triệu đồng).</w:t>
      </w:r>
    </w:p>
    <w:p w:rsidR="0077099A" w:rsidRPr="00FF6BB8" w:rsidRDefault="00FF6BB8" w:rsidP="00C722CC">
      <w:pPr>
        <w:spacing w:before="120" w:after="120" w:line="276" w:lineRule="auto"/>
        <w:ind w:firstLine="709"/>
        <w:jc w:val="both"/>
        <w:rPr>
          <w:rFonts w:ascii="Times New Roman" w:hAnsi="Times New Roman"/>
          <w:sz w:val="28"/>
        </w:rPr>
      </w:pPr>
      <w:r w:rsidRPr="00FF6BB8">
        <w:rPr>
          <w:rFonts w:ascii="Times New Roman" w:hAnsi="Times New Roman"/>
          <w:sz w:val="28"/>
        </w:rPr>
        <w:t xml:space="preserve">Tỷ lệ này được xác định căn cứ trên cách phân bổ định mức chi tại Phụ lục, I, II của Nghị định số 289/2025/NĐ-CP và tương đồng với các Thông tư của Bộ Tài chính, Bộ Công thương. Việc áp dụng tỷ lệ là phù hợp với tính chất, mức độ phức tạp của từng Thông tư, đồng thời </w:t>
      </w:r>
      <w:r w:rsidRPr="00FF6BB8">
        <w:rPr>
          <w:rFonts w:ascii="Times New Roman" w:hAnsi="Times New Roman"/>
          <w:sz w:val="28"/>
          <w:lang w:val="en-GB"/>
        </w:rPr>
        <w:t>thực hiện tiết kiệm chi, bảo đảm chi đúng chi đủ nội dung, không lãng phí ngân sách.</w:t>
      </w:r>
    </w:p>
    <w:sectPr w:rsidR="0077099A" w:rsidRPr="00FF6BB8" w:rsidSect="0089394C">
      <w:headerReference w:type="default" r:id="rId7"/>
      <w:pgSz w:w="12240" w:h="15840"/>
      <w:pgMar w:top="1134" w:right="1134"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499" w:rsidRDefault="00896499" w:rsidP="00451D2D">
      <w:pPr>
        <w:spacing w:after="0" w:line="240" w:lineRule="auto"/>
      </w:pPr>
      <w:r>
        <w:separator/>
      </w:r>
    </w:p>
  </w:endnote>
  <w:endnote w:type="continuationSeparator" w:id="0">
    <w:p w:rsidR="00896499" w:rsidRDefault="00896499" w:rsidP="00451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499" w:rsidRDefault="00896499" w:rsidP="00451D2D">
      <w:pPr>
        <w:spacing w:after="0" w:line="240" w:lineRule="auto"/>
      </w:pPr>
      <w:r>
        <w:separator/>
      </w:r>
    </w:p>
  </w:footnote>
  <w:footnote w:type="continuationSeparator" w:id="0">
    <w:p w:rsidR="00896499" w:rsidRDefault="00896499" w:rsidP="00451D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626259"/>
      <w:docPartObj>
        <w:docPartGallery w:val="Page Numbers (Top of Page)"/>
        <w:docPartUnique/>
      </w:docPartObj>
    </w:sdtPr>
    <w:sdtEndPr>
      <w:rPr>
        <w:rFonts w:ascii="Times New Roman" w:hAnsi="Times New Roman" w:cs="Times New Roman"/>
        <w:noProof/>
      </w:rPr>
    </w:sdtEndPr>
    <w:sdtContent>
      <w:p w:rsidR="00A42F54" w:rsidRPr="00A42F54" w:rsidRDefault="00416A0A">
        <w:pPr>
          <w:pStyle w:val="Header"/>
          <w:jc w:val="center"/>
          <w:rPr>
            <w:rFonts w:ascii="Times New Roman" w:hAnsi="Times New Roman" w:cs="Times New Roman"/>
          </w:rPr>
        </w:pPr>
        <w:r w:rsidRPr="00A42F54">
          <w:rPr>
            <w:rFonts w:ascii="Times New Roman" w:hAnsi="Times New Roman" w:cs="Times New Roman"/>
          </w:rPr>
          <w:fldChar w:fldCharType="begin"/>
        </w:r>
        <w:r w:rsidRPr="00A42F54">
          <w:rPr>
            <w:rFonts w:ascii="Times New Roman" w:hAnsi="Times New Roman" w:cs="Times New Roman"/>
          </w:rPr>
          <w:instrText xml:space="preserve"> PAGE   \* MERGEFORMAT </w:instrText>
        </w:r>
        <w:r w:rsidRPr="00A42F54">
          <w:rPr>
            <w:rFonts w:ascii="Times New Roman" w:hAnsi="Times New Roman" w:cs="Times New Roman"/>
          </w:rPr>
          <w:fldChar w:fldCharType="separate"/>
        </w:r>
        <w:r w:rsidR="003946E8">
          <w:rPr>
            <w:rFonts w:ascii="Times New Roman" w:hAnsi="Times New Roman" w:cs="Times New Roman"/>
            <w:noProof/>
          </w:rPr>
          <w:t>4</w:t>
        </w:r>
        <w:r w:rsidRPr="00A42F54">
          <w:rPr>
            <w:rFonts w:ascii="Times New Roman" w:hAnsi="Times New Roman" w:cs="Times New Roman"/>
            <w:noProof/>
          </w:rPr>
          <w:fldChar w:fldCharType="end"/>
        </w:r>
      </w:p>
    </w:sdtContent>
  </w:sdt>
  <w:p w:rsidR="00A42F54" w:rsidRDefault="008964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D2D"/>
    <w:rsid w:val="0001489C"/>
    <w:rsid w:val="002E5392"/>
    <w:rsid w:val="003946E8"/>
    <w:rsid w:val="00416A0A"/>
    <w:rsid w:val="00451D2D"/>
    <w:rsid w:val="005E46F9"/>
    <w:rsid w:val="00681B20"/>
    <w:rsid w:val="00715065"/>
    <w:rsid w:val="0077099A"/>
    <w:rsid w:val="0089394C"/>
    <w:rsid w:val="00896499"/>
    <w:rsid w:val="008C0C32"/>
    <w:rsid w:val="008D5AE9"/>
    <w:rsid w:val="00964B6C"/>
    <w:rsid w:val="009D674D"/>
    <w:rsid w:val="00BB25E5"/>
    <w:rsid w:val="00C722CC"/>
    <w:rsid w:val="00CC0FDA"/>
    <w:rsid w:val="00DA5ACB"/>
    <w:rsid w:val="00F16618"/>
    <w:rsid w:val="00FF6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DC7F3"/>
  <w15:chartTrackingRefBased/>
  <w15:docId w15:val="{789537B2-7589-4A65-84E9-AC106BA1B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D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51D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1D2D"/>
    <w:rPr>
      <w:sz w:val="20"/>
      <w:szCs w:val="20"/>
    </w:r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Footnote d"/>
    <w:basedOn w:val="DefaultParagraphFont"/>
    <w:link w:val="BVIfnrCarCar"/>
    <w:uiPriority w:val="99"/>
    <w:unhideWhenUsed/>
    <w:qFormat/>
    <w:rsid w:val="00451D2D"/>
    <w:rPr>
      <w:vertAlign w:val="superscript"/>
    </w:rPr>
  </w:style>
  <w:style w:type="paragraph" w:styleId="Header">
    <w:name w:val="header"/>
    <w:basedOn w:val="Normal"/>
    <w:link w:val="HeaderChar"/>
    <w:uiPriority w:val="99"/>
    <w:unhideWhenUsed/>
    <w:rsid w:val="00451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D2D"/>
  </w:style>
  <w:style w:type="paragraph" w:customStyle="1" w:styleId="BVIfnrCarCar">
    <w:name w:val="BVI fnr Car Car"/>
    <w:aliases w:val="BVI fnr Car,BVI fnr Car Car Car Car Char"/>
    <w:basedOn w:val="Normal"/>
    <w:link w:val="FootnoteReference"/>
    <w:uiPriority w:val="99"/>
    <w:rsid w:val="00FF6BB8"/>
    <w:pPr>
      <w:spacing w:before="60" w:after="60" w:line="240" w:lineRule="exact"/>
      <w:jc w:val="both"/>
    </w:pPr>
    <w:rPr>
      <w:vertAlign w:val="superscript"/>
    </w:rPr>
  </w:style>
  <w:style w:type="paragraph" w:styleId="BalloonText">
    <w:name w:val="Balloon Text"/>
    <w:basedOn w:val="Normal"/>
    <w:link w:val="BalloonTextChar"/>
    <w:uiPriority w:val="99"/>
    <w:semiHidden/>
    <w:unhideWhenUsed/>
    <w:rsid w:val="008D5A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AE9"/>
    <w:rPr>
      <w:rFonts w:ascii="Segoe UI" w:hAnsi="Segoe UI" w:cs="Segoe UI"/>
      <w:sz w:val="18"/>
      <w:szCs w:val="18"/>
    </w:rPr>
  </w:style>
  <w:style w:type="paragraph" w:styleId="Footer">
    <w:name w:val="footer"/>
    <w:basedOn w:val="Normal"/>
    <w:link w:val="FooterChar"/>
    <w:uiPriority w:val="99"/>
    <w:unhideWhenUsed/>
    <w:rsid w:val="008939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BC130-D4EC-497E-8CBA-CEB34C8A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1324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2026-03-10T07:59:00Z</cp:lastPrinted>
  <dcterms:created xsi:type="dcterms:W3CDTF">2026-03-10T02:35:00Z</dcterms:created>
  <dcterms:modified xsi:type="dcterms:W3CDTF">2026-03-10T09:39:00Z</dcterms:modified>
</cp:coreProperties>
</file>